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-471487</wp:posOffset>
            </wp:positionH>
            <wp:positionV relativeFrom="paragraph">
              <wp:posOffset>114300</wp:posOffset>
            </wp:positionV>
            <wp:extent cx="7567613" cy="1914525"/>
            <wp:effectExtent b="0" l="0" r="0" t="0"/>
            <wp:wrapSquare wrapText="bothSides" distB="114300" distT="114300" distL="114300" distR="114300"/>
            <wp:docPr id="131051139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 ____________________________________________________________________________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CPF:_____________________ E-mail:___________________________________________________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Telefone:______________________________________________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Data: ____/____/__________ Evento: __________________________________________________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Proposta: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Abrangência (apenas 1 resposta válida):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Municipal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Estadual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 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Selecione o eixo temático da sua proposta: (apenas 1 resposta válida)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Acessibilidade e Mobilidade urbana;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Saneamento básico (tratamento e distribuição de água, coleta e tratamento de esgoto, drenagem urbana e gestão de resíduos sólidos);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Engenharia Pública (Reurbs, Moradia, Tecnologia Social);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Qualidade ambiental (Áreas Verdes Urbanas; Emissões de CO por Habitante; Focos de Calor; Índice de Vulnerabilidade Climática dos Municípios; Supressão da Vegetação Primária e Secundária);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Desenvolvimento energético para os municípios (energia acessível e limpa). 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Indicador(es) impactado(s) pela proposta? </w:t>
      </w:r>
      <w:r w:rsidDel="00000000" w:rsidR="00000000" w:rsidRPr="00000000">
        <w:rPr>
          <w:rtl w:val="0"/>
        </w:rPr>
        <w:t xml:space="preserve">(o eixo temático escolhido acima deve se relacionar com o respectivo indicador). Selecione apenas indicadores relacionados ao eixo temático escolhido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a) Acessibilidade e Mobilidade Urbana: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Necessidades Humanas básicas (Mortes por Acidentes de Trânsito) (Fonte: IPS Brasil)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anos. (Fonte: Ministério da Previdência Social)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Cidades e Comunidades Sustentáveis (Tornar as cidades e os assentamentos humanos inclusivos, seguros, resilientes e sustentáveis) (Fonte: Agenda 2030)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Outros: (Informe o indicador e a fonte) ________________________________________________________________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b) Saneamento Básico: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Necessidades humanas básicas (Abastecimento de Água via rede de Distribuição; Esgotamento Sanitário Adequado; Índice de Abastecimento de Água; Índice de Perdas de Água na Distribuição) (Fonte: IPS Brasil)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anos. (Fonte: Ministério da Previdência Social)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Abastecimento de Água; Esgotamento Sanitário; Manejo dos Resíduos Sólidos Urbanos; Drenagem e Manejo das Águas Pluviais Urbanas. (Fonte: Sistema Nacional de Informações sobre Saneamento)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Cidades e Comunidades Sustentáveis (Tornar as cidades e os assentamentos humanos inclusivos, seguros, resilientes e sustentáveis) (Fonte: Agenda 2030)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Água Potável e Saneamento (Assegurar a disponibilidade e gestão sustentável da água e saneamento para todos) (Fonte: Agenda 2030)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Outros: (Informe o indicador e a fonte) ________________________________________________________________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c) Engenharia Pública (Reurbs, Moradia, Tecnologia Social):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Domicílios com coleta de Resíduos Adequada; Domicílios com Iluminação Elétrica Adequada; Domicílios com Paredes Adequadas; Domicílios com Piso Adequado. (Fonte: IPS Brasil)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anos. (Fonte: Ministério da Previdência Social)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Déficit habitacional, número de domicílios em aglomerados subnormais. (Fonte: IBGE)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Cidades e Comunidades Sustentáveis (Tornar as cidades e os assentamentos humanos inclusivos, seguros, resilientes e sustentáveis) (Fonte: Agenda 2030)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Outros: (Informe o indicador e a fonte) ________________________________________________________________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d) Qualidade Ambiental: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Qualidade do Meio Ambiente: Áreas verdes urbanas; Emissões de CO² por habitante; Focos de Calor; Índice de Vulnerabilidade Climática dos Municípios (IVCM); Supressão da Vegetação Primária e Secundária. (Fonte: IPS Brasil)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anos. (Fonte: Ministério da Previdência Social)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Inventário Nacional de Emissões Atmosféricas; Índice de Qualidade do Ar. (Fonte: Ministério do Meio Ambiente)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sobre focos de calor e desmatamento. (Fonte: Instituto Nacional de Pesquisas Espaciais)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Vida Terrestre (Proteger, recuperar e promover o uso sustentável dos ecossistemas terrestres, gerir de forma sustentável as florestas, combater a desertificação, deter e reverter a degradação da terra e deter a perda de biodiversidade). (Fonte: Agenda 2030)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Ação contra a mudança global do clima (Tomar medidas urgentes para combater a mudança climática e seus impactos) (Fonte: Agenda 2030)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Vida na Água (Conservação e uso sustentável dos oceanos, dos mares e dos recursos marinhos para o desenvolvimento sustentável) (Fonte: Agenda 2030)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Outros: (Informe o indicador e a fonte) ________________________________________________________________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e) Desenvolvimento Energético: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Fundamentos do Bem-Estar: Cobertura de Internet Móvel; Densidade de Internet de banda larga fixa; Densidade de telefonia móvel; Qualidade de Internet Móvel. Necessidades Humanas Básicas: Domicílios com Iluminação Elétrica Adequada. (Fonte: IPS Brasil)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Indicadores de acidentes do trabalho, segundo a Classificação Nacional de Atividades Econômicas (CNAE): Incidência de Doenças Ocupacionais; Incidência de Acidentes Típicos; Incidência de Incapacidade Temporária; Taxa de Mortalidade; Taxa de Letalidade; Acidentalidade para a faixa 16 a 34 anos. (Fonte: Ministério da Previdência Social)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Energia Limpa e Acessível: Assegurar o acesso confiável, sustentável, moderno e a preço acessível à energia. Aumentar substancialmente a participação de energias renováveis na matriz energética global (Fonte: Agenda 2030)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Matriz energética brasileira, participação de fontes renováveis na geração de energia. (Fonte: Empresa de Pesquisa Energética)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Tarifa média de energia elétrica, investimentos em geração distribuída. (Fonte: Agência Nacional de Energia Elétrica)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Outros: (Informe o indicador e a fonte) ________________________________________________________________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Situação existente: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426720</wp:posOffset>
                </wp:positionV>
                <wp:extent cx="6569075" cy="1939925"/>
                <wp:effectExtent b="0" l="0" r="0" t="0"/>
                <wp:wrapSquare wrapText="bothSides" distB="45720" distT="45720" distL="114300" distR="114300"/>
                <wp:docPr id="131051139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66225" y="2814800"/>
                          <a:ext cx="655955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426720</wp:posOffset>
                </wp:positionV>
                <wp:extent cx="6569075" cy="1939925"/>
                <wp:effectExtent b="0" l="0" r="0" t="0"/>
                <wp:wrapSquare wrapText="bothSides" distB="45720" distT="45720" distL="114300" distR="114300"/>
                <wp:docPr id="131051139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075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Proposição: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350520</wp:posOffset>
                </wp:positionV>
                <wp:extent cx="6569075" cy="2644775"/>
                <wp:effectExtent b="0" l="0" r="0" t="0"/>
                <wp:wrapSquare wrapText="bothSides" distB="45720" distT="45720" distL="114300" distR="114300"/>
                <wp:docPr id="131051139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66225" y="2462375"/>
                          <a:ext cx="6559550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350520</wp:posOffset>
                </wp:positionV>
                <wp:extent cx="6569075" cy="2644775"/>
                <wp:effectExtent b="0" l="0" r="0" t="0"/>
                <wp:wrapSquare wrapText="bothSides" distB="45720" distT="45720" distL="114300" distR="114300"/>
                <wp:docPr id="131051139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075" cy="264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Fundamentação Legal: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248920</wp:posOffset>
                </wp:positionV>
                <wp:extent cx="6569075" cy="1414145"/>
                <wp:effectExtent b="0" l="0" r="0" t="0"/>
                <wp:wrapSquare wrapText="bothSides" distB="45720" distT="45720" distL="114300" distR="114300"/>
                <wp:docPr id="131051139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66225" y="3077690"/>
                          <a:ext cx="655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Art. 1º da Lei nº 5.194, de 1966: As profissões de engenheiro e engenheiro agrônomo são caracterizadas pelas realizações de interesse social e humano que importem na realização dos seguintes empreendimentos: a) aproveitamento e utilização de recursos naturais; b) meios de locomoção e comunicações; c) edificações, serviços e equipamentos urbanos, rurais e regionais, nos seus aspectos técnicos e artísticos; d) instalações e meios de acesso a costas, cursos e massas de água e extensões terrestres; e) desenvolvimento industrial e agropecuário.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Art. 1º do Anexo II da Resolução nº 1.013, de 2005: O Congresso Nacional de Profissionais – CNP é um fórum organizado pelo Confea, apoiado pelos Creas e pelas entidades nacionais, que tem por objetivo discutir e propor políticas, estratégias e programas de atuação, visando à participação dos profissionais das áreas abrangidas pelo Sistema Confea/Crea no desenvolvimento nacional, propiciando maior integração com a sociedade e entidades governamentais.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Outros: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248920</wp:posOffset>
                </wp:positionV>
                <wp:extent cx="6569075" cy="1414145"/>
                <wp:effectExtent b="0" l="0" r="0" t="0"/>
                <wp:wrapSquare wrapText="bothSides" distB="45720" distT="45720" distL="114300" distR="114300"/>
                <wp:docPr id="131051139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0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236220</wp:posOffset>
                </wp:positionV>
                <wp:extent cx="6569075" cy="2797175"/>
                <wp:effectExtent b="0" l="0" r="0" t="0"/>
                <wp:wrapSquare wrapText="bothSides" distB="45720" distT="45720" distL="114300" distR="114300"/>
                <wp:docPr id="131051138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6225" y="2386175"/>
                          <a:ext cx="655955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236220</wp:posOffset>
                </wp:positionV>
                <wp:extent cx="6569075" cy="2797175"/>
                <wp:effectExtent b="0" l="0" r="0" t="0"/>
                <wp:wrapSquare wrapText="bothSides" distB="45720" distT="45720" distL="114300" distR="114300"/>
                <wp:docPr id="13105113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075" cy="279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Sugestão de mecanismos para implementação: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350520</wp:posOffset>
                </wp:positionV>
                <wp:extent cx="6569075" cy="4194175"/>
                <wp:effectExtent b="0" l="0" r="0" t="0"/>
                <wp:wrapSquare wrapText="bothSides" distB="45720" distT="45720" distL="114300" distR="114300"/>
                <wp:docPr id="131051139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66225" y="1687675"/>
                          <a:ext cx="6559550" cy="418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350520</wp:posOffset>
                </wp:positionV>
                <wp:extent cx="6569075" cy="4194175"/>
                <wp:effectExtent b="0" l="0" r="0" t="0"/>
                <wp:wrapSquare wrapText="bothSides" distB="45720" distT="45720" distL="114300" distR="114300"/>
                <wp:docPr id="131051139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075" cy="419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98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01 Digita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01 Digitall" w:cs="01 Digitall" w:eastAsia="01 Digitall" w:hAnsi="01 Digital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EC62F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EC62F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C62FC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EC62F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EC62FC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EC62F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EC62F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EC62F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EC62F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C62FC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EC62F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C62FC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EC62FC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EC62FC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EC62F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EC62FC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EC62F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EC62F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EC62F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C62F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EC62F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C62F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EC62F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EC62FC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EC62FC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EC62FC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EC62FC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C62FC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EC62FC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EC62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C62FC"/>
  </w:style>
  <w:style w:type="paragraph" w:styleId="Rodap">
    <w:name w:val="footer"/>
    <w:basedOn w:val="Normal"/>
    <w:link w:val="RodapChar"/>
    <w:uiPriority w:val="99"/>
    <w:unhideWhenUsed w:val="1"/>
    <w:rsid w:val="00EC62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C62FC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vEoDg5wDkVsfQsdu9j3DgyK7g==">CgMxLjA4AHIhMUFMR3FtSXhNRzlYcmR4SHBja0pMTjRkY2tDSlcza0U1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2025-04-04T14:06:00Z</dcterms:created>
  <dc:creator>Silvia Maria Nunes Girardi</dc:creator>
</cp:coreProperties>
</file>