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48117A">
        <w:rPr>
          <w:rFonts w:ascii="Arial" w:hAnsi="Arial" w:cs="Arial"/>
          <w:b/>
          <w:bCs/>
          <w:szCs w:val="22"/>
        </w:rPr>
        <w:t>33</w:t>
      </w:r>
      <w:r w:rsidR="000F7A55">
        <w:rPr>
          <w:rFonts w:ascii="Arial" w:hAnsi="Arial" w:cs="Arial"/>
          <w:b/>
          <w:bCs/>
          <w:szCs w:val="22"/>
        </w:rPr>
        <w:t>/2016</w:t>
      </w:r>
    </w:p>
    <w:p w:rsidR="00AE2B4F" w:rsidRPr="00B13EEE" w:rsidRDefault="00AE2B4F" w:rsidP="00AE2B4F">
      <w:pPr>
        <w:ind w:hanging="142"/>
        <w:rPr>
          <w:rFonts w:ascii="Arial" w:hAnsi="Arial" w:cs="Arial"/>
          <w:b/>
        </w:rPr>
      </w:pPr>
      <w:r w:rsidRPr="00AE2B4F">
        <w:rPr>
          <w:rFonts w:ascii="Arial" w:hAnsi="Arial" w:cs="Arial"/>
        </w:rPr>
        <w:t>Processo</w:t>
      </w:r>
      <w:r>
        <w:rPr>
          <w:rFonts w:ascii="Arial" w:hAnsi="Arial" w:cs="Arial"/>
        </w:rPr>
        <w:tab/>
        <w:t xml:space="preserve">: Prot. </w:t>
      </w:r>
      <w:r w:rsidRPr="00B13EEE">
        <w:rPr>
          <w:rFonts w:ascii="Arial" w:hAnsi="Arial" w:cs="Arial"/>
          <w:b/>
        </w:rPr>
        <w:t>1008726/2013 – CCB CIMPOR CIMENTOS DO BRASIL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64711E">
      <w:pPr>
        <w:ind w:left="1985"/>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Nega provimento ao</w:t>
      </w:r>
      <w:r w:rsidR="001466C8">
        <w:rPr>
          <w:rFonts w:ascii="Arial" w:hAnsi="Arial" w:cs="Arial"/>
          <w:szCs w:val="22"/>
        </w:rPr>
        <w:t xml:space="preserve"> mérito de que trata o processo Nº </w:t>
      </w:r>
      <w:r w:rsidR="001466C8">
        <w:rPr>
          <w:rFonts w:ascii="Arial" w:hAnsi="Arial" w:cs="Arial"/>
        </w:rPr>
        <w:t>Prot. 1008726/2013,</w:t>
      </w:r>
      <w:r w:rsidR="00A86C4E">
        <w:rPr>
          <w:rFonts w:ascii="Arial" w:hAnsi="Arial" w:cs="Arial"/>
          <w:szCs w:val="22"/>
        </w:rPr>
        <w:t xml:space="preserve"> de interesse da </w:t>
      </w:r>
      <w:r w:rsidR="00A86C4E">
        <w:rPr>
          <w:rFonts w:ascii="Arial" w:hAnsi="Arial" w:cs="Arial"/>
        </w:rPr>
        <w:t>CCB CIMPOR CIMENTOS DO BRASIL LTDA</w:t>
      </w:r>
      <w:r w:rsidR="0064711E">
        <w:rPr>
          <w:rFonts w:ascii="Arial" w:hAnsi="Arial" w:cs="Arial"/>
        </w:rPr>
        <w:t xml:space="preserve">, </w:t>
      </w:r>
      <w:r w:rsidR="00A86C4E">
        <w:rPr>
          <w:rFonts w:ascii="Arial" w:hAnsi="Arial" w:cs="Arial"/>
          <w:szCs w:val="22"/>
        </w:rPr>
        <w:t>com aplicação de multa estabelecida no patamar máximo</w:t>
      </w:r>
      <w:r w:rsidR="0064711E">
        <w:rPr>
          <w:rFonts w:ascii="Arial" w:hAnsi="Arial" w:cs="Arial"/>
          <w:bCs/>
          <w:szCs w:val="22"/>
        </w:rPr>
        <w:t>, conforme prevê a legislação vigente.</w:t>
      </w:r>
    </w:p>
    <w:p w:rsidR="00136DFA" w:rsidRDefault="00136DFA" w:rsidP="00EE013D">
      <w:pPr>
        <w:ind w:left="-284"/>
        <w:jc w:val="center"/>
        <w:rPr>
          <w:rFonts w:ascii="Arial" w:hAnsi="Arial" w:cs="Arial"/>
          <w:bCs/>
          <w:szCs w:val="22"/>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EE013D">
      <w:pPr>
        <w:ind w:left="-284"/>
        <w:jc w:val="center"/>
        <w:rPr>
          <w:rFonts w:ascii="Arial" w:hAnsi="Arial" w:cs="Arial"/>
          <w:bCs/>
          <w:szCs w:val="22"/>
        </w:rPr>
      </w:pPr>
    </w:p>
    <w:p w:rsidR="00713CBC" w:rsidRDefault="008D072B" w:rsidP="0080439B">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7B4F24">
        <w:rPr>
          <w:rFonts w:ascii="Arial" w:hAnsi="Arial" w:cs="Arial"/>
        </w:rPr>
        <w:t>CCB CIMPOR CIMENTOS DO BRASIL LTDA</w:t>
      </w:r>
      <w:r w:rsidR="007B4F24">
        <w:rPr>
          <w:rFonts w:ascii="Arial" w:hAnsi="Arial" w:cs="Arial"/>
          <w:szCs w:val="22"/>
        </w:rPr>
        <w:t xml:space="preserve">, devidamente protocolado no âmbito do Regional, através do Nº </w:t>
      </w:r>
      <w:r w:rsidR="007B4F24">
        <w:rPr>
          <w:rFonts w:ascii="Arial" w:hAnsi="Arial" w:cs="Arial"/>
        </w:rPr>
        <w:t>Prot. 1008726/2013; considerando que o mérito foi devidamente apreciado pelo relato</w:t>
      </w:r>
      <w:r w:rsidR="00D54F0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 “</w:t>
      </w:r>
      <w:r w:rsidR="007B4F24" w:rsidRPr="00E91157">
        <w:rPr>
          <w:rFonts w:ascii="Arial" w:hAnsi="Arial" w:cs="Arial"/>
          <w:i/>
        </w:rPr>
        <w:t>Trata o presente processo de auto de infração contra a empresa CCB – Cimpor Cimentos do Brasil Ltda., inscrita no CNPJ sob o n. 10.919.934/0060-35, com registro no CREA/PB sob o n. 336547, por não apresentar ART dos serviços de fabricação, fornecimento e aplicação de concreto usinado em obra de edificação, infringindo o Art. 1º da Lei 6.496/77, lavrado em 06/06/2013, e recebido por AR em 04/11/2013. – Protocolo n</w:t>
      </w:r>
      <w:r w:rsidR="007B4F24" w:rsidRPr="00E91157">
        <w:rPr>
          <w:rFonts w:ascii="Cambria Math" w:hAnsi="Cambria Math" w:cs="Arial"/>
          <w:i/>
        </w:rPr>
        <w:t>⁰</w:t>
      </w:r>
      <w:r w:rsidR="007B4F24" w:rsidRPr="00E91157">
        <w:rPr>
          <w:rFonts w:ascii="Arial" w:hAnsi="Arial" w:cs="Arial"/>
          <w:i/>
        </w:rPr>
        <w:t>. 1008726/2013 Da análise e parecer, Considerando que a empresa CCB (Intercement) não eliminou o fato gerador e não apresentou defesa por escrito à CEECA; Considerando a decisão da CEECA pela manutenção do auto de infração na sua integridade, em observância a alínea “a”, do Artigo 73, da Lei 5.194/66. Considerando que a fabricação e fornecimento de concreto usinado são atividades constantes da relação de atividades técnicas que exigem a elaboração de ART; Considerando que a empresa apresentou recurso ao plenário do CREA/PB, alegando que na atividade de fabricação e fornecimento de concreto usinado existem duas etapas distintas e que na primeira atividade tem no seu quadro técnico responsável técnico, engenheiro civil, devidamente habilitado para responder pelo serviço de fabricação do concreto pré misturado e que não deve ser cobrada ART em duplicidade pelo mesmo serviço e que na segunda atividade de fornecimento do concreto, caracteriza-se como matéria prima e não serviço e que portanto não cabe a apresentação de ART. Considerando que após a fabricação do concreto pré misturado ocorrem o transporte e aplicação do produto e que estes serviços requerem cuidados técnicos conforme descritos a seguir: Durante o trajeto da central dosadora até a obra é comum ocorrer perda na consistência do concreto devido às condições climáticas - temperatura e umidade relativa do ar. Parte da água da mistura deve ser reposta na obra compensando a perda por evaporação durante o trajeto. Para isso, utiliza-se o ensaio de abatimento (slump-test). Antes da descarga do caminhão-betoneira deve-se ainda avaliar se a quantidade de água existente no concreto está compatível com as especificações, não havendo falta ou excesso de água. A falta de água dificulta a aplicação do concreto, criando “nichos” de concretagem. Por sua vez, o excesso de água, embora facilite a aplicação do concreto, diminui consideravelmente sua resistência. As regras para a reposição de água perdida por evaporação são especificadas pela NBR 7212 - Execução de Concreto Dosado em Central. Como regra geral, a adição de água não deve ultrapassar a medida do abatimento solicitada pela obra e especificada no documento de entrega do concreto. Na aplicação, o adensamento do concreto, principalmente em locais onde existam a presença de ferragens, deve ser realizada com a utilização de equipamentos de vibração para que não haja a presença de espaços vazios que comprometam a qualidade final do concreto e que estes serviços necessitam do acompanhamento de um profissional qualificado e habilitado com registro no CREA. Considerando as Leis 5.194/66 e 6.496/77. Considerando a Decisão Normativa n. 20/1986: “Os Serviços de Concretagem são empreendimentos de Engenharia, pois consistem em dosagem e mistura dos materiais componentes do concreto, de conformidade com as especificações técnicas requeridas para cada caso, acrescidas do transporte e aplicação da respectiva mistura na obra. Ficam obrigadas a sujeitar seus contratos de serviços de concretagem à Anotação de Responsabilidade Técnica - ART, por obra, pois aí não existe a dupla incidência de ART ou bitributação.” Somos de parecer pelo indeferimento do recurso e que seja mantido o auto de infração com aplicação de multa no seu valor máximo, corrigido para a data do seu efetivo pagamento. Este é o nosso parecer SMJ. Conselheiro Luís Eduardo de Vasconcelos Chaves</w:t>
      </w:r>
      <w:r w:rsidR="007B4F24">
        <w:rPr>
          <w:rFonts w:ascii="Arial" w:hAnsi="Arial" w:cs="Arial"/>
        </w:rPr>
        <w:t>”</w:t>
      </w:r>
      <w:r w:rsidR="00097E4D">
        <w:rPr>
          <w:rFonts w:ascii="Arial" w:hAnsi="Arial" w:cs="Arial"/>
          <w:bCs/>
          <w:szCs w:val="22"/>
        </w:rPr>
        <w:t xml:space="preserve">, </w:t>
      </w:r>
      <w:r w:rsidR="00910599">
        <w:rPr>
          <w:rFonts w:ascii="Arial" w:hAnsi="Arial" w:cs="Arial"/>
        </w:rPr>
        <w:t xml:space="preserve">DECIDIU </w:t>
      </w:r>
      <w:r w:rsidR="00E91157">
        <w:rPr>
          <w:rFonts w:ascii="Arial" w:hAnsi="Arial" w:cs="Arial"/>
        </w:rPr>
        <w:t>aprovar por unanimidade os termos do parecer que nega provimento ao mérito, com aplicação de penalidade no patamar máximo, conforme prevê a legislação 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 xml:space="preserve">idiu a Sessão </w:t>
      </w:r>
      <w:r w:rsidR="00B13EEE">
        <w:rPr>
          <w:rFonts w:ascii="Arial" w:hAnsi="Arial" w:cs="Arial"/>
          <w:szCs w:val="22"/>
        </w:rPr>
        <w:t xml:space="preserve"> </w:t>
      </w:r>
      <w:r w:rsidR="00786AB6">
        <w:rPr>
          <w:rFonts w:ascii="Arial" w:hAnsi="Arial" w:cs="Arial"/>
          <w:szCs w:val="22"/>
        </w:rPr>
        <w:t>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w:t>
      </w:r>
      <w:r w:rsidR="00B13EEE">
        <w:rPr>
          <w:rFonts w:ascii="Arial" w:hAnsi="Arial" w:cs="Arial"/>
          <w:szCs w:val="22"/>
        </w:rPr>
        <w:t xml:space="preserve"> </w:t>
      </w:r>
      <w:r w:rsidR="00786AB6">
        <w:rPr>
          <w:rFonts w:ascii="Arial" w:hAnsi="Arial" w:cs="Arial"/>
          <w:szCs w:val="22"/>
        </w:rPr>
        <w:t xml:space="preserve">MOUSINHO </w:t>
      </w:r>
      <w:r w:rsidR="00B13EEE">
        <w:rPr>
          <w:rFonts w:ascii="Arial" w:hAnsi="Arial" w:cs="Arial"/>
          <w:szCs w:val="22"/>
        </w:rPr>
        <w:t xml:space="preserve"> </w:t>
      </w:r>
      <w:r w:rsidR="00786AB6">
        <w:rPr>
          <w:rFonts w:ascii="Arial" w:hAnsi="Arial" w:cs="Arial"/>
          <w:szCs w:val="22"/>
        </w:rPr>
        <w:t xml:space="preserve">FERNANDES FILHO, </w:t>
      </w:r>
      <w:r w:rsidR="00B13EEE">
        <w:rPr>
          <w:rFonts w:ascii="Arial" w:hAnsi="Arial" w:cs="Arial"/>
          <w:szCs w:val="22"/>
        </w:rPr>
        <w:t xml:space="preserve"> </w:t>
      </w:r>
      <w:r w:rsidR="00786AB6">
        <w:rPr>
          <w:rFonts w:ascii="Arial" w:hAnsi="Arial" w:cs="Arial"/>
          <w:szCs w:val="22"/>
        </w:rPr>
        <w:t xml:space="preserve">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 xml:space="preserve"> estando</w:t>
      </w:r>
      <w:r w:rsidR="001466C8">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 xml:space="preserve">GILSON VIEIRA FRADE, LUIZ DE GONZAGA SILVA, VIRGINIA ODETE CRUZ BARROCA, ARNÓBIO DIAS DE PONTES, EVALDO DE ALMEIDA FERNANDES, Mª SALLYDELANDIA </w:t>
      </w:r>
      <w:r w:rsidR="00723616" w:rsidRPr="006B6AC2">
        <w:rPr>
          <w:rFonts w:ascii="Arial" w:hAnsi="Arial" w:cs="Arial"/>
          <w:b/>
          <w:sz w:val="20"/>
        </w:rPr>
        <w:lastRenderedPageBreak/>
        <w:t>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251515" w:rsidRDefault="00251515" w:rsidP="00251515">
      <w:pPr>
        <w:spacing w:line="360" w:lineRule="auto"/>
        <w:ind w:left="-142" w:right="141"/>
        <w:jc w:val="center"/>
        <w:rPr>
          <w:rFonts w:ascii="Arial" w:hAnsi="Arial" w:cs="Arial"/>
          <w:szCs w:val="24"/>
        </w:rPr>
      </w:pPr>
      <w:r w:rsidRPr="00A61810">
        <w:rPr>
          <w:rFonts w:ascii="Arial" w:hAnsi="Arial" w:cs="Arial"/>
          <w:szCs w:val="24"/>
        </w:rPr>
        <w:t>Cientifique-se e Cumpra-se</w:t>
      </w:r>
    </w:p>
    <w:p w:rsidR="00786AB6" w:rsidRPr="00786AB6" w:rsidRDefault="00786AB6" w:rsidP="00251515">
      <w:pPr>
        <w:spacing w:line="360" w:lineRule="auto"/>
        <w:ind w:left="-142" w:right="141"/>
        <w:jc w:val="center"/>
        <w:rPr>
          <w:rFonts w:ascii="Arial" w:hAnsi="Arial" w:cs="Arial"/>
          <w:sz w:val="12"/>
          <w:szCs w:val="12"/>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1466C8">
      <w:headerReference w:type="default" r:id="rId8"/>
      <w:pgSz w:w="11907" w:h="16840" w:code="9"/>
      <w:pgMar w:top="567" w:right="567" w:bottom="568" w:left="851"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2E3" w:rsidRDefault="00C232E3">
      <w:r>
        <w:separator/>
      </w:r>
    </w:p>
  </w:endnote>
  <w:endnote w:type="continuationSeparator" w:id="1">
    <w:p w:rsidR="00C232E3" w:rsidRDefault="00C23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2E3" w:rsidRDefault="00C232E3">
      <w:r>
        <w:separator/>
      </w:r>
    </w:p>
  </w:footnote>
  <w:footnote w:type="continuationSeparator" w:id="1">
    <w:p w:rsidR="00C232E3" w:rsidRDefault="00C23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5E7D"/>
    <w:rsid w:val="000771A6"/>
    <w:rsid w:val="0007772B"/>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13E4"/>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6C8"/>
    <w:rsid w:val="00146ADF"/>
    <w:rsid w:val="0015173B"/>
    <w:rsid w:val="0015437C"/>
    <w:rsid w:val="0015678E"/>
    <w:rsid w:val="00157B68"/>
    <w:rsid w:val="00162174"/>
    <w:rsid w:val="00162795"/>
    <w:rsid w:val="00162CA7"/>
    <w:rsid w:val="00163D98"/>
    <w:rsid w:val="00164487"/>
    <w:rsid w:val="00164A32"/>
    <w:rsid w:val="00164F9D"/>
    <w:rsid w:val="001675EC"/>
    <w:rsid w:val="001706F8"/>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2D52"/>
    <w:rsid w:val="0020382E"/>
    <w:rsid w:val="0020493F"/>
    <w:rsid w:val="0020593C"/>
    <w:rsid w:val="002066D0"/>
    <w:rsid w:val="002067BE"/>
    <w:rsid w:val="00212062"/>
    <w:rsid w:val="00212AE5"/>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17A"/>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220C"/>
    <w:rsid w:val="004C28F9"/>
    <w:rsid w:val="004C507C"/>
    <w:rsid w:val="004C685F"/>
    <w:rsid w:val="004C6D0F"/>
    <w:rsid w:val="004D01FD"/>
    <w:rsid w:val="004D054B"/>
    <w:rsid w:val="004D0F07"/>
    <w:rsid w:val="004D13E4"/>
    <w:rsid w:val="004D1BA8"/>
    <w:rsid w:val="004D42D5"/>
    <w:rsid w:val="004D430D"/>
    <w:rsid w:val="004D739B"/>
    <w:rsid w:val="004D7AFF"/>
    <w:rsid w:val="004E077C"/>
    <w:rsid w:val="004E306C"/>
    <w:rsid w:val="004E34C3"/>
    <w:rsid w:val="004E462F"/>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4711E"/>
    <w:rsid w:val="006475C0"/>
    <w:rsid w:val="00651A65"/>
    <w:rsid w:val="006524C7"/>
    <w:rsid w:val="00653144"/>
    <w:rsid w:val="0065418B"/>
    <w:rsid w:val="00654B79"/>
    <w:rsid w:val="00654BA3"/>
    <w:rsid w:val="00654BDD"/>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427"/>
    <w:rsid w:val="00805A84"/>
    <w:rsid w:val="00805FB1"/>
    <w:rsid w:val="00806836"/>
    <w:rsid w:val="00806AE2"/>
    <w:rsid w:val="008079B0"/>
    <w:rsid w:val="008108DE"/>
    <w:rsid w:val="00810DBC"/>
    <w:rsid w:val="00811E43"/>
    <w:rsid w:val="008133AB"/>
    <w:rsid w:val="00813E67"/>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2B4F"/>
    <w:rsid w:val="00AE60ED"/>
    <w:rsid w:val="00AE6548"/>
    <w:rsid w:val="00AE79E4"/>
    <w:rsid w:val="00AE7A06"/>
    <w:rsid w:val="00AF0F43"/>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B5E"/>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5793"/>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2E3"/>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04F6"/>
    <w:rsid w:val="00D423D2"/>
    <w:rsid w:val="00D44EF3"/>
    <w:rsid w:val="00D46A3B"/>
    <w:rsid w:val="00D4747E"/>
    <w:rsid w:val="00D5013E"/>
    <w:rsid w:val="00D53AB6"/>
    <w:rsid w:val="00D543EB"/>
    <w:rsid w:val="00D544A1"/>
    <w:rsid w:val="00D54F04"/>
    <w:rsid w:val="00D56F08"/>
    <w:rsid w:val="00D61008"/>
    <w:rsid w:val="00D6266A"/>
    <w:rsid w:val="00D63EA1"/>
    <w:rsid w:val="00D64CD4"/>
    <w:rsid w:val="00D64D44"/>
    <w:rsid w:val="00D66E18"/>
    <w:rsid w:val="00D678D9"/>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5244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2016-04-12T13:38:00Z</cp:lastPrinted>
  <dcterms:created xsi:type="dcterms:W3CDTF">2016-04-12T18:52:00Z</dcterms:created>
  <dcterms:modified xsi:type="dcterms:W3CDTF">2016-04-13T10:43:00Z</dcterms:modified>
</cp:coreProperties>
</file>