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Pr>
          <w:bCs/>
          <w:sz w:val="22"/>
          <w:szCs w:val="22"/>
        </w:rPr>
        <w:t>632</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4536C7">
        <w:rPr>
          <w:rFonts w:ascii="Arial" w:hAnsi="Arial" w:cs="Arial"/>
          <w:b/>
          <w:bCs/>
          <w:szCs w:val="22"/>
        </w:rPr>
        <w:t>17</w:t>
      </w:r>
      <w:r>
        <w:rPr>
          <w:rFonts w:ascii="Arial" w:hAnsi="Arial" w:cs="Arial"/>
          <w:b/>
          <w:bCs/>
          <w:szCs w:val="22"/>
        </w:rPr>
        <w:t>/2015</w:t>
      </w:r>
    </w:p>
    <w:p w:rsidR="007848FC" w:rsidRPr="00FD50FA" w:rsidRDefault="00FD50FA" w:rsidP="002F22A0">
      <w:pPr>
        <w:ind w:right="-283"/>
        <w:jc w:val="both"/>
        <w:rPr>
          <w:rFonts w:ascii="Arial" w:hAnsi="Arial" w:cs="Arial"/>
          <w:b/>
          <w:bCs/>
          <w:szCs w:val="22"/>
        </w:rPr>
      </w:pPr>
      <w:r w:rsidRPr="004536C7">
        <w:rPr>
          <w:rFonts w:ascii="Arial" w:hAnsi="Arial" w:cs="Arial"/>
          <w:bCs/>
          <w:szCs w:val="22"/>
        </w:rPr>
        <w:t>Processo</w:t>
      </w:r>
      <w:r>
        <w:rPr>
          <w:rFonts w:ascii="Arial" w:hAnsi="Arial" w:cs="Arial"/>
          <w:b/>
          <w:bCs/>
          <w:szCs w:val="22"/>
        </w:rPr>
        <w:tab/>
      </w:r>
      <w:r w:rsidRPr="00FD50FA">
        <w:rPr>
          <w:rFonts w:ascii="Arial" w:hAnsi="Arial" w:cs="Arial"/>
          <w:bCs/>
          <w:szCs w:val="22"/>
        </w:rPr>
        <w:t>:</w:t>
      </w:r>
      <w:r>
        <w:rPr>
          <w:rFonts w:ascii="Arial" w:hAnsi="Arial" w:cs="Arial"/>
          <w:bCs/>
          <w:szCs w:val="22"/>
        </w:rPr>
        <w:t xml:space="preserve"> Prot. </w:t>
      </w:r>
      <w:r w:rsidR="004536C7">
        <w:rPr>
          <w:rFonts w:ascii="Arial" w:hAnsi="Arial" w:cs="Arial"/>
          <w:bCs/>
          <w:szCs w:val="22"/>
        </w:rPr>
        <w:t>1015230/13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4536C7">
        <w:rPr>
          <w:rFonts w:ascii="Arial" w:hAnsi="Arial" w:cs="Arial"/>
          <w:b/>
          <w:bCs/>
          <w:szCs w:val="22"/>
        </w:rPr>
        <w:t>AHP CONSTRUÇÕES E EMPREEND.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2F22A0" w:rsidRPr="0011616B" w:rsidRDefault="002F22A0" w:rsidP="00122266">
      <w:pPr>
        <w:ind w:left="2694" w:hanging="1134"/>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871C78">
        <w:rPr>
          <w:rFonts w:ascii="Arial" w:hAnsi="Arial" w:cs="Arial"/>
          <w:b/>
          <w:bCs/>
          <w:szCs w:val="22"/>
        </w:rPr>
        <w:t>AHP CONSTRUÇÕES E EMPREEND. LTDA</w:t>
      </w:r>
      <w:r w:rsidR="0011616B">
        <w:rPr>
          <w:rFonts w:ascii="Arial" w:hAnsi="Arial" w:cs="Arial"/>
          <w:bCs/>
          <w:szCs w:val="22"/>
        </w:rPr>
        <w:t xml:space="preserve">, com aplicação de multa estabelecida no patamar </w:t>
      </w:r>
      <w:r w:rsidR="00767B3A">
        <w:rPr>
          <w:rFonts w:ascii="Arial" w:hAnsi="Arial" w:cs="Arial"/>
          <w:bCs/>
          <w:szCs w:val="22"/>
        </w:rPr>
        <w:t>máximo</w:t>
      </w:r>
      <w:r w:rsidR="0011616B">
        <w:rPr>
          <w:rFonts w:ascii="Arial" w:hAnsi="Arial" w:cs="Arial"/>
          <w:bCs/>
          <w:szCs w:val="22"/>
        </w:rPr>
        <w:t>, conforme prevê a legislação vigente.</w:t>
      </w:r>
    </w:p>
    <w:p w:rsidR="00122266" w:rsidRDefault="00122266" w:rsidP="00122266">
      <w:pPr>
        <w:ind w:left="2694" w:hanging="1134"/>
        <w:jc w:val="both"/>
        <w:rPr>
          <w:rFonts w:ascii="Arial" w:hAnsi="Arial" w:cs="Arial"/>
          <w:bCs/>
          <w:szCs w:val="22"/>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EC4A8D">
      <w:pPr>
        <w:jc w:val="both"/>
        <w:rPr>
          <w:rFonts w:ascii="Arial" w:hAnsi="Arial" w:cs="Arial"/>
          <w:b/>
          <w:szCs w:val="22"/>
        </w:rPr>
      </w:pPr>
      <w:r w:rsidRPr="00207F4D">
        <w:rPr>
          <w:rFonts w:ascii="Arial" w:hAnsi="Arial" w:cs="Arial"/>
          <w:szCs w:val="22"/>
        </w:rPr>
        <w:t xml:space="preserve">O Plenário do Conselho Regional de Engenharia e Agronomia – CREA/PB, em sua Sessão Plenária Nº 632, de 09 DE março de 2015, considerando o recurso de que trata o mérito que versa </w:t>
      </w:r>
      <w:r w:rsidR="00C05424" w:rsidRPr="00372088">
        <w:rPr>
          <w:rFonts w:ascii="Arial" w:hAnsi="Arial" w:cs="Arial"/>
        </w:rPr>
        <w:t xml:space="preserve">sobre </w:t>
      </w:r>
      <w:r w:rsidR="00EC4A8D" w:rsidRPr="009C5023">
        <w:rPr>
          <w:rFonts w:ascii="Arial" w:hAnsi="Arial" w:cs="Arial"/>
          <w:szCs w:val="22"/>
        </w:rPr>
        <w:t>Versa sobre  auto de infração de personalidade jurídica que deixa de registrar a ART referente à atividade desenvolvida: Infração: Art. 1º da Lei 6.496/77; considerando que a autuada não eliminou o fato gerador da infração, e nem apresentou defesa, tornando-se revel. Considerando que a empresa já havia registrado em 09/07/2013 a ART 10000000000010612, anteriormente a lavratura do auto de infração, referente à Execução dos serviços de reforma e ampliação; faltando elaborar a ART do PCMAT pa</w:t>
      </w:r>
      <w:r w:rsidR="00EC4A8D">
        <w:rPr>
          <w:rFonts w:ascii="Arial" w:hAnsi="Arial" w:cs="Arial"/>
          <w:szCs w:val="22"/>
        </w:rPr>
        <w:t xml:space="preserve">ra a eliminação do fato gerador; considerando que o mérito foi apreciado pela Comissão de Engenharia de Segurança do Trabalho, que deliberou pelo indeferimento do pedido, considerando as razões apresentadas; considerando o parecer exarado pelo relator após análise probatória dos autos, que se acosta ao entendimento da CEST, ou seja, nega provimento ao mérito com aplicação de penalidade máxima, conforme prevê a legislação vigente, </w:t>
      </w:r>
      <w:r w:rsidRPr="00207F4D">
        <w:rPr>
          <w:rFonts w:ascii="Arial" w:hAnsi="Arial" w:cs="Arial"/>
          <w:szCs w:val="22"/>
        </w:rPr>
        <w:t xml:space="preserve">DECIDIU aprovar por unanimidade os termos do parecer. Presidiu a Sessão a Eng. </w:t>
      </w:r>
      <w:proofErr w:type="spellStart"/>
      <w:r w:rsidRPr="00207F4D">
        <w:rPr>
          <w:rFonts w:ascii="Arial" w:hAnsi="Arial" w:cs="Arial"/>
          <w:szCs w:val="22"/>
        </w:rPr>
        <w:t>Agrª</w:t>
      </w:r>
      <w:proofErr w:type="spellEnd"/>
      <w:r w:rsidRPr="00207F4D">
        <w:rPr>
          <w:rFonts w:ascii="Arial" w:hAnsi="Arial" w:cs="Arial"/>
          <w:szCs w:val="22"/>
        </w:rPr>
        <w:t xml:space="preserve"> GIUCÉLIA ARAÚJO DE FIGUEIREDO, Presidente do Conselho, estando presentes os Conselheiros Regionais: </w:t>
      </w:r>
      <w:r w:rsidRPr="00207F4D">
        <w:rPr>
          <w:rFonts w:ascii="Arial" w:hAnsi="Arial" w:cs="Arial"/>
          <w:b/>
          <w:szCs w:val="22"/>
        </w:rPr>
        <w:t xml:space="preserve">José Leandro da Silva Neto, Mª Verônica de Assis Correia, Francisco Xavier Bandeira Ventura, Ronaldo Soares Gomes, Edmilson Argino Borges, Diego </w:t>
      </w:r>
      <w:proofErr w:type="spellStart"/>
      <w:r w:rsidRPr="00207F4D">
        <w:rPr>
          <w:rFonts w:ascii="Arial" w:hAnsi="Arial" w:cs="Arial"/>
          <w:b/>
          <w:szCs w:val="22"/>
        </w:rPr>
        <w:t>Perazzo</w:t>
      </w:r>
      <w:proofErr w:type="spellEnd"/>
      <w:r w:rsidRPr="00207F4D">
        <w:rPr>
          <w:rFonts w:ascii="Arial" w:hAnsi="Arial" w:cs="Arial"/>
          <w:b/>
          <w:szCs w:val="22"/>
        </w:rPr>
        <w:t xml:space="preserve"> </w:t>
      </w:r>
      <w:proofErr w:type="spellStart"/>
      <w:r w:rsidRPr="00207F4D">
        <w:rPr>
          <w:rFonts w:ascii="Arial" w:hAnsi="Arial" w:cs="Arial"/>
          <w:b/>
          <w:szCs w:val="22"/>
        </w:rPr>
        <w:t>Creazzola</w:t>
      </w:r>
      <w:proofErr w:type="spellEnd"/>
      <w:r w:rsidRPr="00207F4D">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Pr="00207F4D">
        <w:rPr>
          <w:rFonts w:ascii="Arial" w:hAnsi="Arial" w:cs="Arial"/>
          <w:b/>
          <w:szCs w:val="22"/>
        </w:rPr>
        <w:t>Eulio</w:t>
      </w:r>
      <w:proofErr w:type="spellEnd"/>
      <w:r w:rsidRPr="00207F4D">
        <w:rPr>
          <w:rFonts w:ascii="Arial" w:hAnsi="Arial" w:cs="Arial"/>
          <w:b/>
          <w:szCs w:val="22"/>
        </w:rPr>
        <w:t xml:space="preserve"> </w:t>
      </w:r>
      <w:proofErr w:type="spellStart"/>
      <w:r w:rsidRPr="00207F4D">
        <w:rPr>
          <w:rFonts w:ascii="Arial" w:hAnsi="Arial" w:cs="Arial"/>
          <w:b/>
          <w:szCs w:val="22"/>
        </w:rPr>
        <w:t>Rudá</w:t>
      </w:r>
      <w:proofErr w:type="spellEnd"/>
      <w:r w:rsidRPr="00207F4D">
        <w:rPr>
          <w:rFonts w:ascii="Arial" w:hAnsi="Arial" w:cs="Arial"/>
          <w:b/>
          <w:szCs w:val="22"/>
        </w:rPr>
        <w:t xml:space="preserve"> Borges </w:t>
      </w:r>
      <w:proofErr w:type="spellStart"/>
      <w:r w:rsidRPr="00207F4D">
        <w:rPr>
          <w:rFonts w:ascii="Arial" w:hAnsi="Arial" w:cs="Arial"/>
          <w:b/>
          <w:szCs w:val="22"/>
        </w:rPr>
        <w:t>Gambarra</w:t>
      </w:r>
      <w:proofErr w:type="spellEnd"/>
      <w:r w:rsidRPr="00207F4D">
        <w:rPr>
          <w:rFonts w:ascii="Arial" w:hAnsi="Arial" w:cs="Arial"/>
          <w:b/>
          <w:szCs w:val="22"/>
        </w:rPr>
        <w:t xml:space="preserve">, Mª </w:t>
      </w:r>
      <w:proofErr w:type="spellStart"/>
      <w:r w:rsidRPr="00207F4D">
        <w:rPr>
          <w:rFonts w:ascii="Arial" w:hAnsi="Arial" w:cs="Arial"/>
          <w:b/>
          <w:szCs w:val="22"/>
        </w:rPr>
        <w:t>Sallydelândia</w:t>
      </w:r>
      <w:proofErr w:type="spellEnd"/>
      <w:r w:rsidRPr="00207F4D">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Pr="00207F4D">
        <w:rPr>
          <w:rFonts w:ascii="Arial" w:hAnsi="Arial" w:cs="Arial"/>
          <w:b/>
          <w:szCs w:val="22"/>
        </w:rPr>
        <w:t>Dinival</w:t>
      </w:r>
      <w:proofErr w:type="spellEnd"/>
      <w:r w:rsidRPr="00207F4D">
        <w:rPr>
          <w:rFonts w:ascii="Arial" w:hAnsi="Arial" w:cs="Arial"/>
          <w:b/>
          <w:szCs w:val="22"/>
        </w:rPr>
        <w:t xml:space="preserve">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João Pessoa, 09 de março de 2015</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p>
    <w:p w:rsidR="00207F4D" w:rsidRDefault="00207F4D" w:rsidP="00207F4D">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CD3" w:rsidRDefault="001F6CD3">
      <w:r>
        <w:separator/>
      </w:r>
    </w:p>
  </w:endnote>
  <w:endnote w:type="continuationSeparator" w:id="0">
    <w:p w:rsidR="001F6CD3" w:rsidRDefault="001F6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CD3" w:rsidRDefault="001F6CD3">
      <w:r>
        <w:separator/>
      </w:r>
    </w:p>
  </w:footnote>
  <w:footnote w:type="continuationSeparator" w:id="0">
    <w:p w:rsidR="001F6CD3" w:rsidRDefault="001F6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0578"/>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5BA"/>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1F6CD3"/>
    <w:rsid w:val="00200D5B"/>
    <w:rsid w:val="00202D52"/>
    <w:rsid w:val="0020382E"/>
    <w:rsid w:val="002044ED"/>
    <w:rsid w:val="0020593C"/>
    <w:rsid w:val="002066D0"/>
    <w:rsid w:val="00207F4D"/>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57AD"/>
    <w:rsid w:val="00250B61"/>
    <w:rsid w:val="002514E8"/>
    <w:rsid w:val="00254703"/>
    <w:rsid w:val="00255874"/>
    <w:rsid w:val="002572AA"/>
    <w:rsid w:val="0025763B"/>
    <w:rsid w:val="002653D1"/>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6AF4"/>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37ED"/>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6C7"/>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070B"/>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67B3A"/>
    <w:rsid w:val="0077453D"/>
    <w:rsid w:val="00774B91"/>
    <w:rsid w:val="00774FE8"/>
    <w:rsid w:val="00775933"/>
    <w:rsid w:val="0077664E"/>
    <w:rsid w:val="0077671D"/>
    <w:rsid w:val="00782450"/>
    <w:rsid w:val="00782E28"/>
    <w:rsid w:val="00783057"/>
    <w:rsid w:val="00783F35"/>
    <w:rsid w:val="007844A3"/>
    <w:rsid w:val="007848FC"/>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1C7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4C83"/>
    <w:rsid w:val="00991464"/>
    <w:rsid w:val="0099175B"/>
    <w:rsid w:val="00991F24"/>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424"/>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018F"/>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4A8D"/>
    <w:rsid w:val="00EC6174"/>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50FA"/>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4137ED"/>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2015-03-10T15:10:00Z</cp:lastPrinted>
  <dcterms:created xsi:type="dcterms:W3CDTF">2015-03-10T15:51:00Z</dcterms:created>
  <dcterms:modified xsi:type="dcterms:W3CDTF">2015-03-10T16:38:00Z</dcterms:modified>
</cp:coreProperties>
</file>