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650FEC" w:rsidRPr="00EC4613">
        <w:rPr>
          <w:rFonts w:ascii="Arial" w:hAnsi="Arial" w:cs="Arial"/>
          <w:b/>
          <w:bCs/>
          <w:szCs w:val="22"/>
        </w:rPr>
        <w:t>96</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650FEC" w:rsidRPr="00EC4613">
        <w:rPr>
          <w:rFonts w:ascii="Arial" w:hAnsi="Arial" w:cs="Arial"/>
          <w:szCs w:val="22"/>
        </w:rPr>
        <w:t>1017151/2013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8521B7" w:rsidRPr="00EC4613">
        <w:rPr>
          <w:rFonts w:ascii="Arial" w:hAnsi="Arial" w:cs="Arial"/>
          <w:bCs/>
          <w:color w:val="000000"/>
          <w:sz w:val="20"/>
          <w:shd w:val="clear" w:color="auto" w:fill="FFFFFF"/>
        </w:rPr>
        <w:t xml:space="preserve">Considerando que a Empresa SUPERMIX CONCRETO S/A é reincidente; </w:t>
      </w:r>
      <w:r w:rsidR="00C27601" w:rsidRPr="00EC4613">
        <w:rPr>
          <w:rFonts w:ascii="Arial" w:hAnsi="Arial" w:cs="Arial"/>
          <w:bCs/>
          <w:color w:val="000000"/>
          <w:sz w:val="20"/>
          <w:shd w:val="clear" w:color="auto" w:fill="FFFFFF"/>
        </w:rPr>
        <w:t>c</w:t>
      </w:r>
      <w:r w:rsidR="008521B7" w:rsidRPr="00EC4613">
        <w:rPr>
          <w:rFonts w:ascii="Arial" w:hAnsi="Arial" w:cs="Arial"/>
          <w:bCs/>
          <w:color w:val="000000"/>
          <w:sz w:val="20"/>
          <w:shd w:val="clear" w:color="auto" w:fill="FFFFFF"/>
        </w:rPr>
        <w:t xml:space="preserve">onsiderando o que determina o Parágrafo Único do Artigo </w:t>
      </w:r>
      <w:r w:rsidR="00C27601" w:rsidRPr="00EC4613">
        <w:rPr>
          <w:rFonts w:ascii="Arial" w:hAnsi="Arial" w:cs="Arial"/>
          <w:bCs/>
          <w:color w:val="000000"/>
          <w:sz w:val="20"/>
          <w:shd w:val="clear" w:color="auto" w:fill="FFFFFF"/>
        </w:rPr>
        <w:t>da 73, da Lei 5.194 , de 24 de d</w:t>
      </w:r>
      <w:r w:rsidR="008521B7" w:rsidRPr="00EC4613">
        <w:rPr>
          <w:rFonts w:ascii="Arial" w:hAnsi="Arial" w:cs="Arial"/>
          <w:bCs/>
          <w:color w:val="000000"/>
          <w:sz w:val="20"/>
          <w:shd w:val="clear" w:color="auto" w:fill="FFFFFF"/>
        </w:rPr>
        <w:t>ezembro de 1966, que especifica: ...Parágrafo Único: As multas referidas neste artigo serão aplicadas em dobro nos casos de reincidência; somos de PARECER FAVORÁVEL A DECISÃO DA CÂMARA ESPECIALIZADA DE ENGENHARIA CIVIL E AGRIMENSURA, pela MANUTENÇÃO DO AUTO DE INFRAÇÃO, com a aplicação do dobro da multa estabelecida no patamar máximo atualizado, conforme determinado na Alinea “a” do Art.73 da Lei nº 5.194/66, combinado com o Paragrafo Único do mesmo Artigo</w:t>
      </w:r>
      <w:r w:rsidR="00C27601" w:rsidRPr="00EC4613">
        <w:rPr>
          <w:rFonts w:ascii="Arial" w:hAnsi="Arial" w:cs="Arial"/>
          <w:bCs/>
          <w:color w:val="000000"/>
          <w:sz w:val="20"/>
          <w:shd w:val="clear" w:color="auto" w:fill="FFFFFF"/>
        </w:rPr>
        <w:t>.</w:t>
      </w:r>
      <w:r w:rsidR="008521B7" w:rsidRPr="00EC4613">
        <w:rPr>
          <w:rFonts w:ascii="Arial" w:hAnsi="Arial" w:cs="Arial"/>
          <w:bCs/>
          <w:color w:val="000000"/>
          <w:sz w:val="20"/>
          <w:shd w:val="clear" w:color="auto" w:fill="FFFFFF"/>
        </w:rPr>
        <w:t xml:space="preserve">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D8" w:rsidRDefault="008F0ED8">
      <w:r>
        <w:separator/>
      </w:r>
    </w:p>
  </w:endnote>
  <w:endnote w:type="continuationSeparator" w:id="1">
    <w:p w:rsidR="008F0ED8" w:rsidRDefault="008F0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D8" w:rsidRDefault="008F0ED8">
      <w:r>
        <w:separator/>
      </w:r>
    </w:p>
  </w:footnote>
  <w:footnote w:type="continuationSeparator" w:id="1">
    <w:p w:rsidR="008F0ED8" w:rsidRDefault="008F0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0ED8"/>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2015-10-23T16:56:00Z</cp:lastPrinted>
  <dcterms:created xsi:type="dcterms:W3CDTF">2015-10-23T16:57:00Z</dcterms:created>
  <dcterms:modified xsi:type="dcterms:W3CDTF">2015-10-23T16:57:00Z</dcterms:modified>
</cp:coreProperties>
</file>