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</w:t>
      </w:r>
      <w:r w:rsidR="00547227">
        <w:rPr>
          <w:rFonts w:ascii="Verdana" w:hAnsi="Verdana" w:cs="Arial"/>
          <w:b/>
          <w:bCs/>
          <w:sz w:val="20"/>
        </w:rPr>
        <w:t>6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7E1DB7">
        <w:rPr>
          <w:rFonts w:ascii="Verdana" w:hAnsi="Verdana" w:cs="Arial"/>
          <w:b/>
          <w:bCs/>
          <w:sz w:val="20"/>
        </w:rPr>
        <w:t>1033778/2015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7E1DB7">
        <w:rPr>
          <w:rFonts w:ascii="Verdana" w:hAnsi="Verdana"/>
          <w:b/>
          <w:sz w:val="20"/>
        </w:rPr>
        <w:t>SIDNEI BATISTA DA SILVA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193FB9">
      <w:pPr>
        <w:ind w:left="2495" w:right="142" w:hanging="1077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7E1DB7">
        <w:rPr>
          <w:rFonts w:ascii="Verdana" w:hAnsi="Verdana"/>
          <w:sz w:val="20"/>
        </w:rPr>
        <w:t>SIDNEI BATISTA DA SILVA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547227">
        <w:rPr>
          <w:rFonts w:ascii="Verdana" w:hAnsi="Verdana" w:cs="Arial"/>
          <w:sz w:val="20"/>
        </w:rPr>
        <w:t>máxim</w:t>
      </w:r>
      <w:r w:rsidR="007E1DB7">
        <w:rPr>
          <w:rFonts w:ascii="Verdana" w:hAnsi="Verdana" w:cs="Arial"/>
          <w:sz w:val="20"/>
        </w:rPr>
        <w:t>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701F1" w:rsidRDefault="00F85C8D" w:rsidP="00067880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E077C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7E077C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7E1DB7">
        <w:rPr>
          <w:rFonts w:ascii="Verdana" w:hAnsi="Verdana" w:cs="Arial"/>
          <w:sz w:val="20"/>
        </w:rPr>
        <w:t>CEECA</w:t>
      </w:r>
      <w:r w:rsidR="000701F1">
        <w:rPr>
          <w:rFonts w:ascii="Verdana" w:hAnsi="Verdana" w:cs="Arial"/>
          <w:sz w:val="20"/>
        </w:rPr>
        <w:t xml:space="preserve"> </w:t>
      </w:r>
      <w:r w:rsidR="000414CE">
        <w:rPr>
          <w:rFonts w:ascii="Verdana" w:hAnsi="Verdana" w:cs="Arial"/>
          <w:sz w:val="20"/>
        </w:rPr>
        <w:t xml:space="preserve">nº </w:t>
      </w:r>
      <w:r w:rsidR="00F67190">
        <w:rPr>
          <w:rFonts w:ascii="Verdana" w:hAnsi="Verdana" w:cs="Arial"/>
          <w:sz w:val="20"/>
        </w:rPr>
        <w:t>874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F67190" w:rsidRPr="00440B4B">
        <w:rPr>
          <w:rFonts w:ascii="Verdana" w:hAnsi="Verdana"/>
          <w:sz w:val="20"/>
        </w:rPr>
        <w:t>300008741/2015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E1DB7">
        <w:rPr>
          <w:rFonts w:ascii="Verdana" w:hAnsi="Verdana"/>
          <w:sz w:val="20"/>
        </w:rPr>
        <w:t>SIDNEI BATISTA DA SILVA</w:t>
      </w:r>
      <w:r w:rsidR="003A28B3">
        <w:rPr>
          <w:rFonts w:ascii="Verdana" w:hAnsi="Verdana" w:cs="Arial"/>
          <w:sz w:val="20"/>
        </w:rPr>
        <w:t xml:space="preserve">, </w:t>
      </w:r>
      <w:r w:rsidR="00F67190" w:rsidRPr="007160CC">
        <w:rPr>
          <w:rFonts w:ascii="Verdana" w:hAnsi="Verdana"/>
          <w:sz w:val="20"/>
        </w:rPr>
        <w:t>referente ao</w:t>
      </w:r>
      <w:r w:rsidR="00F67190">
        <w:rPr>
          <w:rFonts w:ascii="Verdana" w:hAnsi="Verdana"/>
          <w:iCs/>
          <w:sz w:val="20"/>
        </w:rPr>
        <w:t xml:space="preserve"> </w:t>
      </w:r>
      <w:r w:rsidR="00F67190" w:rsidRPr="007160CC">
        <w:rPr>
          <w:rFonts w:ascii="Verdana" w:hAnsi="Verdana"/>
          <w:sz w:val="20"/>
        </w:rPr>
        <w:t xml:space="preserve">projeto/execução da alvenaria e dos projetos complementares (estrutural, elétrico, </w:t>
      </w:r>
      <w:proofErr w:type="spellStart"/>
      <w:r w:rsidR="00F67190" w:rsidRPr="007160CC">
        <w:rPr>
          <w:rFonts w:ascii="Verdana" w:hAnsi="Verdana"/>
          <w:sz w:val="20"/>
        </w:rPr>
        <w:t>hidrossanitário</w:t>
      </w:r>
      <w:proofErr w:type="spellEnd"/>
      <w:r w:rsidR="00F67190" w:rsidRPr="007160CC">
        <w:rPr>
          <w:rFonts w:ascii="Verdana" w:hAnsi="Verdana"/>
          <w:sz w:val="20"/>
        </w:rPr>
        <w:t>) referente a uma ampliação residencial com p</w:t>
      </w:r>
      <w:r w:rsidR="00F67190">
        <w:rPr>
          <w:rFonts w:ascii="Verdana" w:hAnsi="Verdana"/>
          <w:iCs/>
          <w:sz w:val="20"/>
        </w:rPr>
        <w:t>a</w:t>
      </w:r>
      <w:r w:rsidR="00F67190" w:rsidRPr="007160CC">
        <w:rPr>
          <w:rFonts w:ascii="Verdana" w:hAnsi="Verdana"/>
          <w:sz w:val="20"/>
        </w:rPr>
        <w:t>vimento superior e área 82,62m2</w:t>
      </w:r>
      <w:r w:rsidR="00F67190">
        <w:rPr>
          <w:rFonts w:ascii="Verdana" w:hAnsi="Verdana"/>
          <w:iCs/>
          <w:sz w:val="20"/>
        </w:rPr>
        <w:t xml:space="preserve">; </w:t>
      </w:r>
      <w:r w:rsidR="00F67190" w:rsidRPr="007160CC">
        <w:rPr>
          <w:rFonts w:ascii="Verdana" w:hAnsi="Verdana"/>
          <w:sz w:val="20"/>
        </w:rPr>
        <w:t>Considerando</w:t>
      </w:r>
      <w:r w:rsidR="00F67190">
        <w:rPr>
          <w:rFonts w:ascii="Verdana" w:hAnsi="Verdana"/>
          <w:iCs/>
          <w:sz w:val="20"/>
        </w:rPr>
        <w:t xml:space="preserve"> </w:t>
      </w:r>
      <w:r w:rsidR="00F67190" w:rsidRPr="007160CC">
        <w:rPr>
          <w:rFonts w:ascii="Verdana" w:hAnsi="Verdana"/>
          <w:sz w:val="20"/>
        </w:rPr>
        <w:t>que tal fato constitui infração</w:t>
      </w:r>
      <w:r w:rsidR="00F67190">
        <w:rPr>
          <w:rFonts w:ascii="Verdana" w:hAnsi="Verdana"/>
          <w:iCs/>
          <w:sz w:val="20"/>
        </w:rPr>
        <w:t xml:space="preserve"> </w:t>
      </w:r>
      <w:r w:rsidR="00F67190" w:rsidRPr="007160CC">
        <w:rPr>
          <w:rFonts w:ascii="Verdana" w:hAnsi="Verdana"/>
          <w:sz w:val="20"/>
        </w:rPr>
        <w:t>alínea “a” do Art. 6° da Lei 5.194/66</w:t>
      </w:r>
      <w:r w:rsidR="00F67190">
        <w:rPr>
          <w:rFonts w:ascii="Verdana" w:hAnsi="Verdana"/>
          <w:iCs/>
          <w:sz w:val="20"/>
        </w:rPr>
        <w:t>;</w:t>
      </w:r>
      <w:r w:rsidR="00F67190" w:rsidRPr="007160CC">
        <w:rPr>
          <w:rFonts w:ascii="Verdana" w:hAnsi="Verdana"/>
          <w:sz w:val="20"/>
        </w:rPr>
        <w:t xml:space="preserve"> Considerando</w:t>
      </w:r>
      <w:r w:rsidR="00F67190">
        <w:rPr>
          <w:rFonts w:ascii="Verdana" w:hAnsi="Verdana"/>
          <w:iCs/>
          <w:sz w:val="20"/>
        </w:rPr>
        <w:t xml:space="preserve"> </w:t>
      </w:r>
      <w:r w:rsidR="00F67190" w:rsidRPr="007160CC">
        <w:rPr>
          <w:rFonts w:ascii="Verdana" w:hAnsi="Verdana"/>
          <w:sz w:val="20"/>
        </w:rPr>
        <w:t>que o interessado não apresentou defesa;</w:t>
      </w:r>
      <w:r w:rsidR="00F67190">
        <w:rPr>
          <w:rFonts w:ascii="Verdana" w:hAnsi="Verdana"/>
          <w:iCs/>
          <w:sz w:val="20"/>
        </w:rPr>
        <w:t xml:space="preserve"> </w:t>
      </w:r>
      <w:r w:rsidR="00F67190" w:rsidRPr="007160CC">
        <w:rPr>
          <w:rFonts w:ascii="Verdana" w:hAnsi="Verdana"/>
          <w:sz w:val="20"/>
        </w:rPr>
        <w:t>considerando</w:t>
      </w:r>
      <w:r w:rsidR="00F67190">
        <w:rPr>
          <w:rFonts w:ascii="Verdana" w:hAnsi="Verdana"/>
          <w:iCs/>
          <w:sz w:val="20"/>
        </w:rPr>
        <w:t xml:space="preserve"> </w:t>
      </w:r>
      <w:r w:rsidR="00F67190" w:rsidRPr="007160CC">
        <w:rPr>
          <w:rFonts w:ascii="Verdana" w:hAnsi="Verdana"/>
          <w:sz w:val="20"/>
        </w:rPr>
        <w:t xml:space="preserve">que o interessado não eliminou o fato gerador da </w:t>
      </w:r>
      <w:r w:rsidR="00F67190">
        <w:rPr>
          <w:rFonts w:ascii="Verdana" w:hAnsi="Verdana"/>
          <w:iCs/>
          <w:sz w:val="20"/>
        </w:rPr>
        <w:t>i</w:t>
      </w:r>
      <w:r w:rsidR="00F67190" w:rsidRPr="007160CC">
        <w:rPr>
          <w:rFonts w:ascii="Verdana" w:hAnsi="Verdana"/>
          <w:sz w:val="20"/>
        </w:rPr>
        <w:t>nfração</w:t>
      </w:r>
      <w:r w:rsidR="00417F4D">
        <w:rPr>
          <w:rFonts w:ascii="Verdana" w:hAnsi="Verdana"/>
          <w:iCs/>
          <w:sz w:val="20"/>
        </w:rPr>
        <w:t>;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considerando</w:t>
      </w:r>
      <w:r w:rsidR="004E0C54">
        <w:rPr>
          <w:rFonts w:ascii="Verdana" w:hAnsi="Verdana"/>
          <w:iCs/>
          <w:sz w:val="20"/>
        </w:rPr>
        <w:t xml:space="preserve"> </w:t>
      </w:r>
      <w:r w:rsidR="004E0C54" w:rsidRPr="00BB1365">
        <w:rPr>
          <w:rFonts w:ascii="Verdana" w:hAnsi="Verdana"/>
          <w:sz w:val="20"/>
        </w:rPr>
        <w:t>que o interessado</w:t>
      </w:r>
      <w:proofErr w:type="gramStart"/>
      <w:r w:rsidR="004E0C54">
        <w:rPr>
          <w:rFonts w:ascii="Verdana" w:hAnsi="Verdana"/>
          <w:iCs/>
          <w:sz w:val="20"/>
        </w:rPr>
        <w:t xml:space="preserve">  </w:t>
      </w:r>
      <w:proofErr w:type="gramEnd"/>
      <w:r w:rsidR="004E0C54" w:rsidRPr="00BB1365">
        <w:rPr>
          <w:rFonts w:ascii="Verdana" w:hAnsi="Verdana"/>
          <w:sz w:val="20"/>
        </w:rPr>
        <w:t xml:space="preserve">eliminou o fato gerador da </w:t>
      </w:r>
      <w:r w:rsidR="004E0C54">
        <w:rPr>
          <w:rFonts w:ascii="Verdana" w:hAnsi="Verdana"/>
          <w:iCs/>
          <w:sz w:val="20"/>
        </w:rPr>
        <w:t>I</w:t>
      </w:r>
      <w:r w:rsidR="004E0C54" w:rsidRPr="00BB1365">
        <w:rPr>
          <w:rFonts w:ascii="Verdana" w:hAnsi="Verdana"/>
          <w:sz w:val="20"/>
        </w:rPr>
        <w:t>nfração</w:t>
      </w:r>
      <w:r w:rsidR="0078596B">
        <w:rPr>
          <w:rFonts w:ascii="Verdana" w:hAnsi="Verdana"/>
          <w:iCs/>
          <w:sz w:val="20"/>
        </w:rPr>
        <w:t xml:space="preserve">; </w:t>
      </w:r>
      <w:r w:rsidR="002017C5">
        <w:rPr>
          <w:rFonts w:ascii="Verdana" w:hAnsi="Verdana" w:cs="Arial"/>
          <w:sz w:val="20"/>
        </w:rPr>
        <w:t>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F67190" w:rsidRPr="00F67190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de Engenharia Civil e Agrimensura, emitimos o seguinte parecer: Considerando que o presente processo versa sobre defesa de Notificação/Auto de Infração de exercício ilegal por pessoa física infringindo o art°. 6, alínea “a” da Lei 5.194/66; considerando que a pessoa física estava executando uma ampliação residencial com pavimento superior e área de 82,32 </w:t>
      </w:r>
      <w:proofErr w:type="spellStart"/>
      <w:r w:rsidR="00F67190" w:rsidRPr="00F67190">
        <w:rPr>
          <w:rFonts w:ascii="Verdana" w:hAnsi="Verdana"/>
          <w:i/>
          <w:sz w:val="20"/>
        </w:rPr>
        <w:t>m²</w:t>
      </w:r>
      <w:proofErr w:type="spellEnd"/>
      <w:r w:rsidR="00F67190" w:rsidRPr="00F67190">
        <w:rPr>
          <w:rFonts w:ascii="Verdana" w:hAnsi="Verdana"/>
          <w:i/>
          <w:sz w:val="20"/>
        </w:rPr>
        <w:t xml:space="preserve"> e fora notificada devido à falta de Anotação de Responsabilidade Técnica- ART, da execução e projetos complementares de conforme relatório da fiscalização anexo a este processo; considerando a Decisão Ordinária nº 874/2016 da Câmara Especializada de Engenharia Civil e Agrimensura deste Conselho reunida em sua Sessão Ordinária no dia 01 de agosto de 2016 que decidiu seguir o voto do seu relator o Eng. Civil </w:t>
      </w:r>
      <w:proofErr w:type="spellStart"/>
      <w:r w:rsidR="00F67190" w:rsidRPr="00F67190">
        <w:rPr>
          <w:rFonts w:ascii="Verdana" w:hAnsi="Verdana"/>
          <w:i/>
          <w:sz w:val="20"/>
        </w:rPr>
        <w:t>Arnóbio</w:t>
      </w:r>
      <w:proofErr w:type="spellEnd"/>
      <w:r w:rsidR="00F67190" w:rsidRPr="00F67190">
        <w:rPr>
          <w:rFonts w:ascii="Verdana" w:hAnsi="Verdana"/>
          <w:i/>
          <w:sz w:val="20"/>
        </w:rPr>
        <w:t xml:space="preserve"> Dias de Pontes, pela MANUTENÇÃO DO AUTO DE INFRAÇÃO, devendo ser aplicada a multa estabelecida no patamar máximo, nos termos da alínea “d” do art. 73 da Lei 5.194/66; considerando o recurso apresentado a este Plenário; considerando que o autuado fora notificado para apresentar ART de projetos e de projeto e execução de alvenaria; considerando que o autuado apresentou defesa porém NÃO regularizou o fato gerador da infração. Diante do exposto, recomendamos a MANUTENÇÃO do auto de infração contra a pessoa física SIDNEI BATISTA DA SILVA, devendo ser aplicada a multa estabelecida no patamar MÁXIMO, nos termos da alínea “d” do art. 73 da Lei 5.194/66</w:t>
      </w:r>
      <w:r w:rsidR="007E077C" w:rsidRPr="0035196E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78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01F1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3FB9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172E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17F4D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0C54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47227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96B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077C"/>
    <w:rsid w:val="007E1744"/>
    <w:rsid w:val="007E17B7"/>
    <w:rsid w:val="007E1D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5E8E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20F2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36B3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0E39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81C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67190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2017-01-09T18:50:00Z</cp:lastPrinted>
  <dcterms:created xsi:type="dcterms:W3CDTF">2017-01-10T12:23:00Z</dcterms:created>
  <dcterms:modified xsi:type="dcterms:W3CDTF">2017-01-10T12:23:00Z</dcterms:modified>
</cp:coreProperties>
</file>