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2445CA">
        <w:rPr>
          <w:rFonts w:ascii="Verdana" w:hAnsi="Verdana" w:cs="Arial"/>
          <w:b/>
          <w:bCs/>
          <w:sz w:val="20"/>
        </w:rPr>
        <w:t>25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2445CA">
        <w:rPr>
          <w:rFonts w:ascii="Verdana" w:hAnsi="Verdana" w:cs="Arial"/>
          <w:b/>
          <w:bCs/>
          <w:sz w:val="20"/>
        </w:rPr>
        <w:t>Prot. 1058479/2016 – DAYVSON FABER ALCÂNTARA SILVA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2445CA">
        <w:rPr>
          <w:rFonts w:ascii="Verdana" w:hAnsi="Verdana" w:cs="Arial"/>
          <w:bCs/>
          <w:sz w:val="20"/>
        </w:rPr>
        <w:t>Solicita anotação de curso de Engenharia de Segurança do Trabalho.</w:t>
      </w:r>
    </w:p>
    <w:p w:rsidR="006F3692" w:rsidRPr="0027471D" w:rsidRDefault="006F3692" w:rsidP="007C674D">
      <w:pPr>
        <w:ind w:right="141"/>
        <w:jc w:val="both"/>
        <w:rPr>
          <w:rFonts w:ascii="Verdana" w:hAnsi="Verdana" w:cs="Arial"/>
          <w:bCs/>
          <w:sz w:val="16"/>
          <w:szCs w:val="16"/>
        </w:rPr>
      </w:pP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E23405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F83952">
        <w:rPr>
          <w:rFonts w:ascii="Verdana" w:hAnsi="Verdana" w:cs="Arial"/>
          <w:sz w:val="20"/>
        </w:rPr>
        <w:t>EMENTA</w:t>
      </w:r>
      <w:proofErr w:type="gramStart"/>
      <w:r w:rsidRPr="00F83952">
        <w:rPr>
          <w:rFonts w:ascii="Verdana" w:hAnsi="Verdana" w:cs="Arial"/>
          <w:sz w:val="20"/>
        </w:rPr>
        <w:t>:</w:t>
      </w:r>
      <w:r w:rsidR="006C3CE0" w:rsidRPr="00F83952">
        <w:rPr>
          <w:rFonts w:ascii="Verdana" w:hAnsi="Verdana" w:cs="Arial"/>
          <w:sz w:val="20"/>
        </w:rPr>
        <w:t>.</w:t>
      </w:r>
      <w:proofErr w:type="gramEnd"/>
      <w:r w:rsidR="004047A0" w:rsidRPr="00F83952">
        <w:rPr>
          <w:rFonts w:ascii="Verdana" w:hAnsi="Verdana" w:cs="Arial"/>
          <w:sz w:val="20"/>
        </w:rPr>
        <w:t xml:space="preserve"> Aprova por unanimidade o parecer do </w:t>
      </w:r>
      <w:r w:rsidR="0027471D" w:rsidRPr="00F83952">
        <w:rPr>
          <w:rFonts w:ascii="Verdana" w:hAnsi="Verdana" w:cs="Arial"/>
          <w:sz w:val="20"/>
        </w:rPr>
        <w:t>relator</w:t>
      </w:r>
      <w:r w:rsidR="00E23405" w:rsidRPr="00F83952">
        <w:rPr>
          <w:rFonts w:ascii="Verdana" w:hAnsi="Verdana" w:cs="Arial"/>
          <w:sz w:val="20"/>
        </w:rPr>
        <w:t xml:space="preserve"> que</w:t>
      </w:r>
      <w:r w:rsidR="00F83952" w:rsidRPr="00F83952">
        <w:rPr>
          <w:rFonts w:ascii="Verdana" w:hAnsi="Verdana"/>
          <w:sz w:val="20"/>
        </w:rPr>
        <w:t xml:space="preserve"> </w:t>
      </w:r>
      <w:r w:rsidR="002B34CA">
        <w:rPr>
          <w:rFonts w:ascii="Verdana" w:hAnsi="Verdana" w:cs="Arial"/>
          <w:sz w:val="20"/>
        </w:rPr>
        <w:t>indefere o pleito em razão da documentação apresentada não atender os ditames da</w:t>
      </w:r>
      <w:r w:rsidR="005E5831">
        <w:rPr>
          <w:rFonts w:ascii="Verdana" w:hAnsi="Verdana" w:cs="Arial"/>
          <w:sz w:val="20"/>
        </w:rPr>
        <w:t xml:space="preserve"> legislação </w:t>
      </w:r>
      <w:r w:rsidR="002B34CA">
        <w:rPr>
          <w:rFonts w:ascii="Verdana" w:hAnsi="Verdana" w:cs="Arial"/>
          <w:sz w:val="20"/>
        </w:rPr>
        <w:t>vigente</w:t>
      </w:r>
      <w:r w:rsidR="00F83952" w:rsidRPr="006F409E">
        <w:rPr>
          <w:rFonts w:ascii="Verdana" w:hAnsi="Verdana" w:cs="Arial"/>
          <w:i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AC4583" w:rsidRDefault="004B7BCD" w:rsidP="00AC4583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 xml:space="preserve">Considerando </w:t>
      </w:r>
      <w:r w:rsidR="00875980" w:rsidRPr="00AC4583">
        <w:rPr>
          <w:rFonts w:ascii="Verdana" w:hAnsi="Verdana" w:cs="Arial"/>
          <w:sz w:val="20"/>
        </w:rPr>
        <w:t>a solicitação pro</w:t>
      </w:r>
      <w:r w:rsidR="003737B2">
        <w:rPr>
          <w:rFonts w:ascii="Verdana" w:hAnsi="Verdana" w:cs="Arial"/>
          <w:sz w:val="20"/>
        </w:rPr>
        <w:t>tocolizada no âmbito do CREA-PB</w:t>
      </w:r>
      <w:r w:rsidR="00875980" w:rsidRPr="00AC4583">
        <w:rPr>
          <w:rFonts w:ascii="Verdana" w:hAnsi="Verdana" w:cs="Arial"/>
          <w:sz w:val="20"/>
        </w:rPr>
        <w:t xml:space="preserve"> </w:t>
      </w:r>
      <w:r w:rsidR="000A5BD4">
        <w:rPr>
          <w:rFonts w:ascii="Verdana" w:hAnsi="Verdana" w:cs="Arial"/>
          <w:sz w:val="20"/>
        </w:rPr>
        <w:t xml:space="preserve">pelo </w:t>
      </w:r>
      <w:r w:rsidR="00904B90">
        <w:rPr>
          <w:rFonts w:ascii="Verdana" w:hAnsi="Verdana" w:cs="Arial"/>
          <w:sz w:val="20"/>
        </w:rPr>
        <w:t xml:space="preserve">profissional anotação de curso de Engenharia de Segurança do Trabalho, ofertado pela Faculdade Maurício de Nassau; Considerando que o processo </w:t>
      </w:r>
      <w:r w:rsidR="00435BFA">
        <w:rPr>
          <w:rFonts w:ascii="Verdana" w:hAnsi="Verdana" w:cs="Arial"/>
          <w:sz w:val="20"/>
        </w:rPr>
        <w:t xml:space="preserve">foi devidamente instruído e analisado pela Comissão de Educação e Atribuição Profissional que após análise indeferiu o pleito em razão </w:t>
      </w:r>
      <w:r w:rsidR="00435BFA" w:rsidRPr="00435BFA">
        <w:rPr>
          <w:rFonts w:ascii="Verdana" w:hAnsi="Verdana" w:cs="Arial"/>
          <w:sz w:val="20"/>
        </w:rPr>
        <w:t>da solicitação,</w:t>
      </w:r>
      <w:r w:rsidR="00435BFA">
        <w:rPr>
          <w:rFonts w:ascii="Verdana" w:hAnsi="Verdana" w:cs="Arial"/>
          <w:sz w:val="20"/>
        </w:rPr>
        <w:t xml:space="preserve"> ter ocorrido</w:t>
      </w:r>
      <w:r w:rsidR="00435BFA" w:rsidRPr="00435BFA">
        <w:rPr>
          <w:rFonts w:ascii="Verdana" w:hAnsi="Verdana" w:cs="Arial"/>
          <w:sz w:val="20"/>
        </w:rPr>
        <w:t xml:space="preserve"> no período de </w:t>
      </w:r>
      <w:r w:rsidR="00435BFA">
        <w:rPr>
          <w:rFonts w:ascii="Verdana" w:hAnsi="Verdana" w:cs="Arial"/>
          <w:sz w:val="20"/>
        </w:rPr>
        <w:t xml:space="preserve">07/12/2013 a 27/09/2015 e considerando </w:t>
      </w:r>
      <w:r w:rsidR="00435BFA" w:rsidRPr="00435BFA">
        <w:rPr>
          <w:rFonts w:ascii="Verdana" w:hAnsi="Verdana" w:cs="Arial"/>
          <w:sz w:val="20"/>
        </w:rPr>
        <w:t>que a Colação de Grau do Profissional foi no dia 18/12/2013;</w:t>
      </w:r>
      <w:r w:rsidR="00435BFA">
        <w:rPr>
          <w:rFonts w:ascii="Verdana" w:hAnsi="Verdana" w:cs="Arial"/>
          <w:sz w:val="20"/>
        </w:rPr>
        <w:t xml:space="preserve"> </w:t>
      </w:r>
      <w:r w:rsidR="00435BFA" w:rsidRPr="00435BFA">
        <w:rPr>
          <w:rFonts w:ascii="Verdana" w:hAnsi="Verdana" w:cs="Arial"/>
          <w:sz w:val="20"/>
        </w:rPr>
        <w:t>Considerando</w:t>
      </w:r>
      <w:r w:rsidR="00435BFA">
        <w:rPr>
          <w:rFonts w:ascii="Verdana" w:hAnsi="Verdana" w:cs="Arial"/>
          <w:sz w:val="20"/>
        </w:rPr>
        <w:t xml:space="preserve"> </w:t>
      </w:r>
      <w:r w:rsidR="00435BFA" w:rsidRPr="00435BFA">
        <w:rPr>
          <w:rFonts w:ascii="Verdana" w:hAnsi="Verdana" w:cs="Arial"/>
          <w:sz w:val="20"/>
        </w:rPr>
        <w:t xml:space="preserve">que o </w:t>
      </w:r>
      <w:proofErr w:type="spellStart"/>
      <w:r w:rsidR="00435BFA" w:rsidRPr="00435BFA">
        <w:rPr>
          <w:rFonts w:ascii="Verdana" w:hAnsi="Verdana" w:cs="Arial"/>
          <w:sz w:val="20"/>
        </w:rPr>
        <w:t>Profissiona</w:t>
      </w:r>
      <w:proofErr w:type="spellEnd"/>
      <w:r w:rsidR="00435BFA" w:rsidRPr="00435BFA">
        <w:rPr>
          <w:rFonts w:ascii="Verdana" w:hAnsi="Verdana" w:cs="Arial"/>
          <w:sz w:val="20"/>
        </w:rPr>
        <w:t xml:space="preserve"> iniciou o Curso de Pós Graduação de Engenharia de Segurança do Trabalho sem a efetiva conclusão do seu Curso de Graduação;</w:t>
      </w:r>
      <w:r w:rsidR="00435BFA">
        <w:rPr>
          <w:rFonts w:ascii="Verdana" w:hAnsi="Verdana" w:cs="Arial"/>
          <w:sz w:val="20"/>
        </w:rPr>
        <w:t xml:space="preserve"> </w:t>
      </w:r>
      <w:r w:rsidR="00435BFA" w:rsidRPr="00435BFA">
        <w:rPr>
          <w:rFonts w:ascii="Verdana" w:hAnsi="Verdana" w:cs="Arial"/>
          <w:sz w:val="20"/>
        </w:rPr>
        <w:t>Considerando</w:t>
      </w:r>
      <w:r w:rsidR="00435BFA">
        <w:rPr>
          <w:rFonts w:ascii="Verdana" w:hAnsi="Verdana" w:cs="Arial"/>
          <w:sz w:val="20"/>
        </w:rPr>
        <w:t xml:space="preserve"> </w:t>
      </w:r>
      <w:r w:rsidR="00435BFA" w:rsidRPr="00435BFA">
        <w:rPr>
          <w:rFonts w:ascii="Verdana" w:hAnsi="Verdana" w:cs="Arial"/>
          <w:sz w:val="20"/>
        </w:rPr>
        <w:t xml:space="preserve">que o Curso </w:t>
      </w:r>
      <w:r w:rsidR="00435BFA">
        <w:rPr>
          <w:rFonts w:ascii="Verdana" w:hAnsi="Verdana" w:cs="Arial"/>
          <w:sz w:val="20"/>
        </w:rPr>
        <w:t>foi concluído no dia 27/09/2015</w:t>
      </w:r>
      <w:r w:rsidR="00435BFA" w:rsidRPr="00435BFA">
        <w:rPr>
          <w:rFonts w:ascii="Verdana" w:hAnsi="Verdana" w:cs="Arial"/>
          <w:sz w:val="20"/>
        </w:rPr>
        <w:t xml:space="preserve"> e mesmo assim não consta no Processo o</w:t>
      </w:r>
      <w:r w:rsidR="00435BFA">
        <w:rPr>
          <w:rFonts w:ascii="Verdana" w:hAnsi="Verdana" w:cs="Arial"/>
          <w:sz w:val="20"/>
        </w:rPr>
        <w:t xml:space="preserve"> competente Diploma</w:t>
      </w:r>
      <w:r w:rsidR="00435BFA" w:rsidRPr="00435BFA">
        <w:rPr>
          <w:rFonts w:ascii="Verdana" w:hAnsi="Verdana" w:cs="Arial"/>
          <w:sz w:val="20"/>
        </w:rPr>
        <w:t>/</w:t>
      </w:r>
      <w:r w:rsidR="00435BFA">
        <w:rPr>
          <w:rFonts w:ascii="Verdana" w:hAnsi="Verdana" w:cs="Arial"/>
          <w:sz w:val="20"/>
        </w:rPr>
        <w:t xml:space="preserve">Certificado de Conclusão, conforme Deliberação Nº 183/2016; </w:t>
      </w:r>
      <w:r w:rsidR="00846A14">
        <w:rPr>
          <w:rFonts w:ascii="Verdana" w:hAnsi="Verdana" w:cs="Arial"/>
          <w:sz w:val="20"/>
        </w:rPr>
        <w:t>Considerando o</w:t>
      </w:r>
      <w:r w:rsidR="008A6A1A">
        <w:rPr>
          <w:rFonts w:ascii="Verdana" w:hAnsi="Verdana" w:cs="Arial"/>
          <w:sz w:val="20"/>
        </w:rPr>
        <w:t>s</w:t>
      </w:r>
      <w:r w:rsidR="00846A14">
        <w:rPr>
          <w:rFonts w:ascii="Verdana" w:hAnsi="Verdana" w:cs="Arial"/>
          <w:sz w:val="20"/>
        </w:rPr>
        <w:t xml:space="preserve"> </w:t>
      </w:r>
      <w:r w:rsidR="008A6A1A">
        <w:rPr>
          <w:rFonts w:ascii="Verdana" w:hAnsi="Verdana" w:cs="Arial"/>
          <w:sz w:val="20"/>
        </w:rPr>
        <w:t xml:space="preserve">termos do </w:t>
      </w:r>
      <w:r w:rsidR="00846A14">
        <w:rPr>
          <w:rFonts w:ascii="Verdana" w:hAnsi="Verdana" w:cs="Arial"/>
          <w:sz w:val="20"/>
        </w:rPr>
        <w:t>parecer exarado pelo relator</w:t>
      </w:r>
      <w:r w:rsidR="00C9165D">
        <w:rPr>
          <w:rFonts w:ascii="Verdana" w:hAnsi="Verdana" w:cs="Arial"/>
          <w:sz w:val="20"/>
        </w:rPr>
        <w:t xml:space="preserve"> com o seguinte teor: </w:t>
      </w:r>
      <w:proofErr w:type="gramStart"/>
      <w:r w:rsidR="003A1496">
        <w:rPr>
          <w:rFonts w:ascii="Verdana" w:hAnsi="Verdana" w:cs="Arial"/>
          <w:sz w:val="20"/>
        </w:rPr>
        <w:t xml:space="preserve">“ </w:t>
      </w:r>
      <w:proofErr w:type="gramEnd"/>
      <w:r w:rsidR="003A1496" w:rsidRPr="00247A3C">
        <w:rPr>
          <w:rFonts w:ascii="Verdana" w:hAnsi="Verdana" w:cs="Arial"/>
          <w:i/>
          <w:sz w:val="20"/>
        </w:rPr>
        <w:t xml:space="preserve">FUNDAMENTAÇÃO: tomando-se como referência a Lei 7410/1985, comprova-se que a parte interessada não atendeu aos requisitos </w:t>
      </w:r>
      <w:r w:rsidR="000C14AE" w:rsidRPr="00247A3C">
        <w:rPr>
          <w:rFonts w:ascii="Verdana" w:hAnsi="Verdana" w:cs="Arial"/>
          <w:i/>
          <w:sz w:val="20"/>
        </w:rPr>
        <w:t>necessários da referida legislação. PARECER: INDEFERIDO – Tomando-se como referência os documentos contemplados neste processo, bem como os pareceres da Comissão</w:t>
      </w:r>
      <w:r w:rsidR="00247A3C" w:rsidRPr="00247A3C">
        <w:rPr>
          <w:rFonts w:ascii="Verdana" w:hAnsi="Verdana" w:cs="Arial"/>
          <w:i/>
          <w:sz w:val="20"/>
        </w:rPr>
        <w:t xml:space="preserve"> de Segurança do Trabalho, somos de parecer pelo indeferimento do pleito. Comprovou-se que o curso de Engenharia de Segurança do Trabalho foi iniciado antes da </w:t>
      </w:r>
      <w:proofErr w:type="spellStart"/>
      <w:r w:rsidR="00247A3C" w:rsidRPr="00247A3C">
        <w:rPr>
          <w:rFonts w:ascii="Verdana" w:hAnsi="Verdana" w:cs="Arial"/>
          <w:i/>
          <w:sz w:val="20"/>
        </w:rPr>
        <w:t>conclusçao</w:t>
      </w:r>
      <w:proofErr w:type="spellEnd"/>
      <w:r w:rsidR="00247A3C" w:rsidRPr="00247A3C">
        <w:rPr>
          <w:rFonts w:ascii="Verdana" w:hAnsi="Verdana" w:cs="Arial"/>
          <w:i/>
          <w:sz w:val="20"/>
        </w:rPr>
        <w:t xml:space="preserve"> do curso de graduação, o que contraria a legislação vigente, bem como não foi apresentado o diploma da graduação. É o meu parecer. </w:t>
      </w:r>
      <w:proofErr w:type="spellStart"/>
      <w:r w:rsidR="00247A3C" w:rsidRPr="00247A3C">
        <w:rPr>
          <w:rFonts w:ascii="Verdana" w:hAnsi="Verdana" w:cs="Arial"/>
          <w:i/>
          <w:sz w:val="20"/>
        </w:rPr>
        <w:t>Eng.Elet.</w:t>
      </w:r>
      <w:proofErr w:type="spellEnd"/>
      <w:r w:rsidR="00247A3C" w:rsidRPr="00247A3C">
        <w:rPr>
          <w:rFonts w:ascii="Verdana" w:hAnsi="Verdana" w:cs="Arial"/>
          <w:i/>
          <w:sz w:val="20"/>
        </w:rPr>
        <w:t xml:space="preserve"> Luiz Carlos Carvalho de Oliveira</w:t>
      </w:r>
      <w:r w:rsidR="00247A3C">
        <w:rPr>
          <w:rFonts w:ascii="Verdana" w:hAnsi="Verdana" w:cs="Arial"/>
          <w:sz w:val="20"/>
        </w:rPr>
        <w:t>.”</w:t>
      </w:r>
      <w:r w:rsidR="00072E6E">
        <w:rPr>
          <w:rFonts w:ascii="Verdana" w:hAnsi="Verdana" w:cs="Arial"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E01FC3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27471D" w:rsidRPr="00EB7246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177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10</cp:revision>
  <cp:lastPrinted>2017-03-16T12:19:00Z</cp:lastPrinted>
  <dcterms:created xsi:type="dcterms:W3CDTF">2017-03-16T13:20:00Z</dcterms:created>
  <dcterms:modified xsi:type="dcterms:W3CDTF">2017-03-16T16:16:00Z</dcterms:modified>
</cp:coreProperties>
</file>