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3A" w:rsidRDefault="00742044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</w:t>
      </w:r>
      <w:r w:rsidR="00B45176">
        <w:rPr>
          <w:rFonts w:ascii="Arial Black" w:hAnsi="Arial Black"/>
        </w:rPr>
        <w:t>INDICADORES DE DESEMPENHO- OUVIDORIA.</w:t>
      </w:r>
    </w:p>
    <w:p w:rsidR="00467F81" w:rsidRDefault="00467F81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 w:rsidR="005E161B">
        <w:rPr>
          <w:rFonts w:ascii="Arial Black" w:hAnsi="Arial Black"/>
        </w:rPr>
        <w:t xml:space="preserve"> </w:t>
      </w:r>
      <w:r w:rsidR="00984117">
        <w:rPr>
          <w:rFonts w:ascii="Arial Black" w:hAnsi="Arial Black"/>
        </w:rPr>
        <w:t xml:space="preserve">                          Setembro</w:t>
      </w:r>
      <w:r w:rsidR="005E161B">
        <w:rPr>
          <w:rFonts w:ascii="Arial Black" w:hAnsi="Arial Black"/>
        </w:rPr>
        <w:t>-</w:t>
      </w:r>
      <w:r w:rsidR="00C87CFB">
        <w:rPr>
          <w:rFonts w:ascii="Arial Black" w:hAnsi="Arial Black"/>
        </w:rPr>
        <w:t xml:space="preserve"> 2019</w:t>
      </w:r>
    </w:p>
    <w:p w:rsidR="00B45176" w:rsidRDefault="001A7AF0">
      <w:pPr>
        <w:rPr>
          <w:rFonts w:ascii="Arial Black" w:hAnsi="Arial Black"/>
        </w:rPr>
      </w:pPr>
      <w:r>
        <w:rPr>
          <w:rFonts w:ascii="Arial Black" w:hAnsi="Arial Black"/>
          <w:noProof/>
          <w:lang w:eastAsia="pt-B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7.95pt;margin-top:562.65pt;width:0;height:34.5pt;z-index:251658240" o:connectortype="straight"/>
        </w:pict>
      </w:r>
      <w:r w:rsidR="00B45176">
        <w:rPr>
          <w:rFonts w:ascii="Arial Black" w:hAnsi="Arial Black"/>
        </w:rPr>
        <w:t xml:space="preserve">       </w:t>
      </w:r>
    </w:p>
    <w:tbl>
      <w:tblPr>
        <w:tblpPr w:leftFromText="141" w:rightFromText="141" w:vertAnchor="text" w:tblpY="1"/>
        <w:tblOverlap w:val="never"/>
        <w:tblW w:w="93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/>
      </w:tblPr>
      <w:tblGrid>
        <w:gridCol w:w="826"/>
        <w:gridCol w:w="12"/>
        <w:gridCol w:w="7198"/>
        <w:gridCol w:w="1311"/>
      </w:tblGrid>
      <w:tr w:rsidR="00EE239F" w:rsidTr="00F03891">
        <w:trPr>
          <w:trHeight w:val="581"/>
        </w:trPr>
        <w:tc>
          <w:tcPr>
            <w:tcW w:w="9347" w:type="dxa"/>
            <w:gridSpan w:val="4"/>
          </w:tcPr>
          <w:p w:rsidR="00EE239F" w:rsidRDefault="00EE239F" w:rsidP="00F03891">
            <w:pPr>
              <w:tabs>
                <w:tab w:val="left" w:pos="7212"/>
              </w:tabs>
              <w:rPr>
                <w:rFonts w:ascii="Arial Black" w:hAnsi="Arial Black"/>
              </w:rPr>
            </w:pPr>
          </w:p>
          <w:p w:rsidR="00EE239F" w:rsidRDefault="00EE239F" w:rsidP="00F03891">
            <w:pPr>
              <w:tabs>
                <w:tab w:val="left" w:pos="7212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Indicadores Operacionais</w:t>
            </w:r>
            <w:r>
              <w:rPr>
                <w:rFonts w:ascii="Arial Black" w:hAnsi="Arial Black"/>
              </w:rPr>
              <w:tab/>
            </w:r>
          </w:p>
        </w:tc>
      </w:tr>
      <w:tr w:rsidR="00EE239F" w:rsidTr="00F03891">
        <w:trPr>
          <w:trHeight w:val="689"/>
        </w:trPr>
        <w:tc>
          <w:tcPr>
            <w:tcW w:w="826" w:type="dxa"/>
          </w:tcPr>
          <w:p w:rsidR="00EE239F" w:rsidRDefault="00EE239F" w:rsidP="00F03891">
            <w:pPr>
              <w:rPr>
                <w:rFonts w:ascii="Arial Black" w:hAnsi="Arial Black"/>
              </w:rPr>
            </w:pPr>
          </w:p>
          <w:p w:rsidR="00217C7F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A</w:t>
            </w:r>
          </w:p>
        </w:tc>
        <w:tc>
          <w:tcPr>
            <w:tcW w:w="7210" w:type="dxa"/>
            <w:gridSpan w:val="2"/>
          </w:tcPr>
          <w:p w:rsidR="00217C7F" w:rsidRDefault="006871E5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217C7F">
              <w:rPr>
                <w:rFonts w:ascii="Arial Black" w:hAnsi="Arial Black"/>
              </w:rPr>
              <w:t>Quantidade de manifestações recebidas.</w:t>
            </w:r>
          </w:p>
          <w:p w:rsidR="00217C7F" w:rsidRDefault="00217C7F" w:rsidP="00F03891">
            <w:pPr>
              <w:rPr>
                <w:rFonts w:ascii="Arial Black" w:hAnsi="Arial Black"/>
              </w:rPr>
            </w:pPr>
          </w:p>
        </w:tc>
        <w:tc>
          <w:tcPr>
            <w:tcW w:w="1311" w:type="dxa"/>
          </w:tcPr>
          <w:p w:rsidR="00EE239F" w:rsidRDefault="00EE239F" w:rsidP="00F03891">
            <w:pPr>
              <w:rPr>
                <w:rFonts w:ascii="Arial Black" w:hAnsi="Arial Black"/>
              </w:rPr>
            </w:pPr>
          </w:p>
          <w:p w:rsidR="00467F81" w:rsidRDefault="00251D27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</w:t>
            </w:r>
            <w:r w:rsidR="00C87CFB">
              <w:rPr>
                <w:rFonts w:ascii="Arial Black" w:hAnsi="Arial Black"/>
              </w:rPr>
              <w:t>47</w:t>
            </w:r>
          </w:p>
        </w:tc>
      </w:tr>
      <w:tr w:rsidR="00EE239F" w:rsidTr="00F03891">
        <w:trPr>
          <w:trHeight w:val="557"/>
        </w:trPr>
        <w:tc>
          <w:tcPr>
            <w:tcW w:w="826" w:type="dxa"/>
          </w:tcPr>
          <w:p w:rsidR="00EE239F" w:rsidRDefault="00EE239F" w:rsidP="00F03891">
            <w:pPr>
              <w:rPr>
                <w:rFonts w:ascii="Arial Black" w:hAnsi="Arial Black"/>
              </w:rPr>
            </w:pPr>
          </w:p>
          <w:p w:rsidR="00217C7F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B</w:t>
            </w:r>
          </w:p>
        </w:tc>
        <w:tc>
          <w:tcPr>
            <w:tcW w:w="7210" w:type="dxa"/>
            <w:gridSpan w:val="2"/>
          </w:tcPr>
          <w:p w:rsidR="00217C7F" w:rsidRDefault="006871E5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</w:t>
            </w:r>
            <w:r w:rsidR="00217C7F">
              <w:rPr>
                <w:rFonts w:ascii="Arial Black" w:hAnsi="Arial Black"/>
              </w:rPr>
              <w:t>%</w:t>
            </w:r>
            <w:r>
              <w:rPr>
                <w:rFonts w:ascii="Arial Black" w:hAnsi="Arial Black"/>
              </w:rPr>
              <w:t xml:space="preserve"> -</w:t>
            </w:r>
            <w:r w:rsidR="00217C7F">
              <w:rPr>
                <w:rFonts w:ascii="Arial Black" w:hAnsi="Arial Black"/>
              </w:rPr>
              <w:t xml:space="preserve"> de manifestações atendidas</w:t>
            </w:r>
            <w:r w:rsidR="005D49D3">
              <w:rPr>
                <w:rFonts w:ascii="Arial Black" w:hAnsi="Arial Black"/>
              </w:rPr>
              <w:t>.</w:t>
            </w:r>
            <w:r w:rsidR="00217C7F">
              <w:rPr>
                <w:rFonts w:ascii="Arial Black" w:hAnsi="Arial Black"/>
              </w:rPr>
              <w:t xml:space="preserve"> </w:t>
            </w:r>
          </w:p>
        </w:tc>
        <w:tc>
          <w:tcPr>
            <w:tcW w:w="1311" w:type="dxa"/>
          </w:tcPr>
          <w:p w:rsidR="001D6EEF" w:rsidRDefault="001D6EEF" w:rsidP="00F03891">
            <w:pPr>
              <w:rPr>
                <w:rFonts w:ascii="Arial Black" w:hAnsi="Arial Black"/>
              </w:rPr>
            </w:pPr>
          </w:p>
          <w:p w:rsidR="00EE239F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60</w:t>
            </w:r>
            <w:r w:rsidR="00251D27">
              <w:rPr>
                <w:rFonts w:ascii="Arial Black" w:hAnsi="Arial Black"/>
              </w:rPr>
              <w:t>%</w:t>
            </w:r>
          </w:p>
        </w:tc>
      </w:tr>
      <w:tr w:rsidR="00EE239F" w:rsidTr="00F03891">
        <w:trPr>
          <w:trHeight w:val="879"/>
        </w:trPr>
        <w:tc>
          <w:tcPr>
            <w:tcW w:w="826" w:type="dxa"/>
          </w:tcPr>
          <w:p w:rsidR="00EE239F" w:rsidRDefault="00EE239F" w:rsidP="00F03891">
            <w:pPr>
              <w:rPr>
                <w:rFonts w:ascii="Arial Black" w:hAnsi="Arial Black"/>
              </w:rPr>
            </w:pPr>
          </w:p>
          <w:p w:rsidR="00217C7F" w:rsidRDefault="00217C7F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ED6424">
              <w:rPr>
                <w:rFonts w:ascii="Arial Black" w:hAnsi="Arial Black"/>
              </w:rPr>
              <w:t>C</w:t>
            </w:r>
          </w:p>
        </w:tc>
        <w:tc>
          <w:tcPr>
            <w:tcW w:w="7210" w:type="dxa"/>
            <w:gridSpan w:val="2"/>
          </w:tcPr>
          <w:p w:rsidR="00217C7F" w:rsidRDefault="006871E5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Resolubilidade-</w:t>
            </w: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% de manifestações cumpridas no prazo de até 20 dias.</w:t>
            </w:r>
          </w:p>
          <w:p w:rsidR="000D0643" w:rsidRDefault="000D0643" w:rsidP="00F03891">
            <w:pPr>
              <w:rPr>
                <w:rFonts w:ascii="Arial Black" w:hAnsi="Arial Black"/>
              </w:rPr>
            </w:pPr>
          </w:p>
        </w:tc>
        <w:tc>
          <w:tcPr>
            <w:tcW w:w="1311" w:type="dxa"/>
          </w:tcPr>
          <w:p w:rsidR="001D6EEF" w:rsidRDefault="001D6EEF" w:rsidP="00F03891">
            <w:pPr>
              <w:rPr>
                <w:rFonts w:ascii="Arial Black" w:hAnsi="Arial Black"/>
              </w:rPr>
            </w:pPr>
          </w:p>
          <w:p w:rsidR="000D0643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93</w:t>
            </w:r>
            <w:r w:rsidR="00251D27">
              <w:rPr>
                <w:rFonts w:ascii="Arial Black" w:hAnsi="Arial Black"/>
              </w:rPr>
              <w:t>%</w:t>
            </w:r>
          </w:p>
        </w:tc>
      </w:tr>
      <w:tr w:rsidR="00EE239F" w:rsidTr="00F03891">
        <w:trPr>
          <w:trHeight w:val="553"/>
        </w:trPr>
        <w:tc>
          <w:tcPr>
            <w:tcW w:w="826" w:type="dxa"/>
          </w:tcPr>
          <w:p w:rsidR="00EE239F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D</w:t>
            </w:r>
          </w:p>
          <w:p w:rsidR="000D0643" w:rsidRDefault="000D064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</w:tc>
        <w:tc>
          <w:tcPr>
            <w:tcW w:w="7210" w:type="dxa"/>
            <w:gridSpan w:val="2"/>
          </w:tcPr>
          <w:p w:rsidR="00EE239F" w:rsidRDefault="006871E5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Número de atendimentos</w:t>
            </w:r>
            <w:r w:rsidR="00550313">
              <w:rPr>
                <w:rFonts w:ascii="Arial Black" w:hAnsi="Arial Black"/>
              </w:rPr>
              <w:t>.</w:t>
            </w:r>
          </w:p>
        </w:tc>
        <w:tc>
          <w:tcPr>
            <w:tcW w:w="1311" w:type="dxa"/>
          </w:tcPr>
          <w:p w:rsidR="000D0643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87CFB">
              <w:rPr>
                <w:rFonts w:ascii="Arial Black" w:hAnsi="Arial Black"/>
              </w:rPr>
              <w:t>Nº28</w:t>
            </w:r>
          </w:p>
        </w:tc>
      </w:tr>
      <w:tr w:rsidR="00EE239F" w:rsidTr="00F03891">
        <w:trPr>
          <w:trHeight w:val="58"/>
        </w:trPr>
        <w:tc>
          <w:tcPr>
            <w:tcW w:w="826" w:type="dxa"/>
          </w:tcPr>
          <w:p w:rsidR="00454828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EE239F" w:rsidRDefault="00454828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ED6424">
              <w:rPr>
                <w:rFonts w:ascii="Arial Black" w:hAnsi="Arial Black"/>
              </w:rPr>
              <w:t>E</w:t>
            </w:r>
          </w:p>
          <w:p w:rsidR="000D0643" w:rsidRDefault="000D0643" w:rsidP="00F03891">
            <w:pPr>
              <w:rPr>
                <w:rFonts w:ascii="Arial Black" w:hAnsi="Arial Black"/>
              </w:rPr>
            </w:pPr>
          </w:p>
        </w:tc>
        <w:tc>
          <w:tcPr>
            <w:tcW w:w="7210" w:type="dxa"/>
            <w:gridSpan w:val="2"/>
          </w:tcPr>
          <w:p w:rsidR="000D0643" w:rsidRDefault="001D6EEF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pedidos de informações recebidos pela Ouvidoria</w:t>
            </w:r>
            <w:r w:rsidR="00550313">
              <w:rPr>
                <w:rFonts w:ascii="Arial Black" w:hAnsi="Arial Black"/>
              </w:rPr>
              <w:t>.</w:t>
            </w:r>
          </w:p>
        </w:tc>
        <w:tc>
          <w:tcPr>
            <w:tcW w:w="1311" w:type="dxa"/>
          </w:tcPr>
          <w:p w:rsidR="00EE239F" w:rsidRDefault="00EE239F" w:rsidP="00F03891">
            <w:pPr>
              <w:rPr>
                <w:rFonts w:ascii="Arial Black" w:hAnsi="Arial Black"/>
              </w:rPr>
            </w:pPr>
          </w:p>
          <w:p w:rsidR="001D6EEF" w:rsidRDefault="00251D27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87CFB">
              <w:rPr>
                <w:rFonts w:ascii="Arial Black" w:hAnsi="Arial Black"/>
              </w:rPr>
              <w:t>Nº9</w:t>
            </w:r>
          </w:p>
        </w:tc>
      </w:tr>
      <w:tr w:rsidR="006A7864" w:rsidTr="00F03891">
        <w:trPr>
          <w:trHeight w:val="641"/>
        </w:trPr>
        <w:tc>
          <w:tcPr>
            <w:tcW w:w="826" w:type="dxa"/>
          </w:tcPr>
          <w:p w:rsidR="00550313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  <w:p w:rsidR="006A7864" w:rsidRDefault="006A786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550313">
              <w:rPr>
                <w:rFonts w:ascii="Arial Black" w:hAnsi="Arial Black"/>
              </w:rPr>
              <w:t xml:space="preserve"> F</w:t>
            </w:r>
          </w:p>
        </w:tc>
        <w:tc>
          <w:tcPr>
            <w:tcW w:w="7210" w:type="dxa"/>
            <w:gridSpan w:val="2"/>
          </w:tcPr>
          <w:p w:rsidR="006871E5" w:rsidRDefault="006871E5" w:rsidP="00F03891">
            <w:pPr>
              <w:rPr>
                <w:rFonts w:ascii="Arial Black" w:hAnsi="Arial Black"/>
                <w:b/>
              </w:rPr>
            </w:pPr>
          </w:p>
          <w:p w:rsidR="006A7864" w:rsidRPr="006A7864" w:rsidRDefault="006871E5" w:rsidP="00F03891">
            <w:pPr>
              <w:rPr>
                <w:rFonts w:ascii="Arial Black" w:hAnsi="Arial Black"/>
                <w:i/>
              </w:rPr>
            </w:pPr>
            <w:r>
              <w:rPr>
                <w:rFonts w:ascii="Arial Black" w:hAnsi="Arial Black"/>
                <w:b/>
              </w:rPr>
              <w:t xml:space="preserve">% </w:t>
            </w:r>
            <w:proofErr w:type="gramStart"/>
            <w:r>
              <w:rPr>
                <w:rFonts w:ascii="Arial Black" w:hAnsi="Arial Black"/>
                <w:b/>
              </w:rPr>
              <w:t>-</w:t>
            </w:r>
            <w:r w:rsidR="006A7864" w:rsidRPr="006A7864">
              <w:rPr>
                <w:rFonts w:ascii="Arial Black" w:hAnsi="Arial Black"/>
                <w:i/>
              </w:rPr>
              <w:t>dos</w:t>
            </w:r>
            <w:proofErr w:type="gramEnd"/>
            <w:r w:rsidR="006A7864" w:rsidRPr="006A7864">
              <w:rPr>
                <w:rFonts w:ascii="Arial Black" w:hAnsi="Arial Black"/>
                <w:i/>
              </w:rPr>
              <w:t xml:space="preserve"> pedidos </w:t>
            </w:r>
            <w:r w:rsidR="00C87CFB">
              <w:rPr>
                <w:rFonts w:ascii="Arial Black" w:hAnsi="Arial Black"/>
                <w:i/>
              </w:rPr>
              <w:t xml:space="preserve">de informação </w:t>
            </w:r>
            <w:r w:rsidR="006A7864" w:rsidRPr="006A7864">
              <w:rPr>
                <w:rFonts w:ascii="Arial Black" w:hAnsi="Arial Black"/>
                <w:i/>
              </w:rPr>
              <w:t>cumpridos no prazo de até 20 dias.</w:t>
            </w:r>
          </w:p>
        </w:tc>
        <w:tc>
          <w:tcPr>
            <w:tcW w:w="1311" w:type="dxa"/>
          </w:tcPr>
          <w:p w:rsidR="006A7864" w:rsidRDefault="006A7864" w:rsidP="00F03891">
            <w:pPr>
              <w:rPr>
                <w:rFonts w:ascii="Arial Black" w:hAnsi="Arial Black"/>
              </w:rPr>
            </w:pPr>
          </w:p>
          <w:p w:rsidR="006A7864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100%</w:t>
            </w:r>
          </w:p>
        </w:tc>
      </w:tr>
      <w:tr w:rsidR="00550313" w:rsidTr="00F03891">
        <w:trPr>
          <w:trHeight w:val="738"/>
        </w:trPr>
        <w:tc>
          <w:tcPr>
            <w:tcW w:w="826" w:type="dxa"/>
            <w:tcBorders>
              <w:bottom w:val="single" w:sz="4" w:space="0" w:color="auto"/>
            </w:tcBorders>
          </w:tcPr>
          <w:p w:rsidR="00454828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550313" w:rsidRDefault="00454828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ED6424">
              <w:rPr>
                <w:rFonts w:ascii="Arial Black" w:hAnsi="Arial Black"/>
              </w:rPr>
              <w:t xml:space="preserve"> G</w:t>
            </w:r>
          </w:p>
        </w:tc>
        <w:tc>
          <w:tcPr>
            <w:tcW w:w="7210" w:type="dxa"/>
            <w:gridSpan w:val="2"/>
            <w:tcBorders>
              <w:bottom w:val="single" w:sz="4" w:space="0" w:color="auto"/>
            </w:tcBorders>
          </w:tcPr>
          <w:p w:rsidR="00550313" w:rsidRDefault="00550313" w:rsidP="00F03891">
            <w:pPr>
              <w:rPr>
                <w:rFonts w:ascii="Arial Black" w:hAnsi="Arial Black"/>
                <w:i/>
              </w:rPr>
            </w:pPr>
          </w:p>
          <w:p w:rsidR="00550313" w:rsidRPr="006871E5" w:rsidRDefault="00550313" w:rsidP="00F03891">
            <w:pPr>
              <w:rPr>
                <w:rFonts w:ascii="Arial Black" w:hAnsi="Arial Black"/>
                <w:b/>
              </w:rPr>
            </w:pPr>
            <w:proofErr w:type="gramStart"/>
            <w:r>
              <w:rPr>
                <w:rFonts w:ascii="Arial Black" w:hAnsi="Arial Black"/>
                <w:i/>
              </w:rPr>
              <w:t>Quantidade de solicitação</w:t>
            </w:r>
            <w:r>
              <w:rPr>
                <w:rFonts w:ascii="Arial Black" w:hAnsi="Arial Black"/>
              </w:rPr>
              <w:t xml:space="preserve"> recebidos pela Ouvidoria</w:t>
            </w:r>
            <w:proofErr w:type="gramEnd"/>
            <w:r>
              <w:rPr>
                <w:rFonts w:ascii="Arial Black" w:hAnsi="Arial Black"/>
              </w:rPr>
              <w:t>.</w:t>
            </w:r>
          </w:p>
        </w:tc>
        <w:tc>
          <w:tcPr>
            <w:tcW w:w="1311" w:type="dxa"/>
          </w:tcPr>
          <w:p w:rsidR="00550313" w:rsidRDefault="00550313" w:rsidP="00F03891">
            <w:pPr>
              <w:rPr>
                <w:rFonts w:ascii="Arial Black" w:hAnsi="Arial Black"/>
              </w:rPr>
            </w:pPr>
          </w:p>
          <w:p w:rsidR="00550313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</w:t>
            </w:r>
            <w:r w:rsidR="00C87CFB">
              <w:rPr>
                <w:rFonts w:ascii="Arial Black" w:hAnsi="Arial Black"/>
              </w:rPr>
              <w:t>º14</w:t>
            </w:r>
          </w:p>
        </w:tc>
      </w:tr>
      <w:tr w:rsidR="00EE239F" w:rsidTr="00F03891">
        <w:trPr>
          <w:trHeight w:val="775"/>
        </w:trPr>
        <w:tc>
          <w:tcPr>
            <w:tcW w:w="826" w:type="dxa"/>
          </w:tcPr>
          <w:p w:rsidR="00454828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742044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H</w:t>
            </w:r>
          </w:p>
        </w:tc>
        <w:tc>
          <w:tcPr>
            <w:tcW w:w="7210" w:type="dxa"/>
            <w:gridSpan w:val="2"/>
          </w:tcPr>
          <w:p w:rsidR="00EE239F" w:rsidRDefault="00EE239F" w:rsidP="00F03891">
            <w:pPr>
              <w:rPr>
                <w:rFonts w:ascii="Arial Black" w:hAnsi="Arial Black"/>
              </w:rPr>
            </w:pPr>
          </w:p>
          <w:p w:rsidR="00742044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% de pedidos</w:t>
            </w:r>
            <w:r w:rsidR="005D49D3">
              <w:rPr>
                <w:rFonts w:ascii="Arial Black" w:hAnsi="Arial Black"/>
              </w:rPr>
              <w:t xml:space="preserve"> atendidos no prazo de até 20 dias.</w:t>
            </w:r>
          </w:p>
        </w:tc>
        <w:tc>
          <w:tcPr>
            <w:tcW w:w="1311" w:type="dxa"/>
          </w:tcPr>
          <w:p w:rsidR="005D49D3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71</w:t>
            </w:r>
            <w:r w:rsidR="00CB1DD8">
              <w:rPr>
                <w:rFonts w:ascii="Arial Black" w:hAnsi="Arial Black"/>
              </w:rPr>
              <w:t>%</w:t>
            </w:r>
          </w:p>
        </w:tc>
      </w:tr>
      <w:tr w:rsidR="00EE239F" w:rsidTr="00F03891">
        <w:trPr>
          <w:trHeight w:val="650"/>
        </w:trPr>
        <w:tc>
          <w:tcPr>
            <w:tcW w:w="826" w:type="dxa"/>
          </w:tcPr>
          <w:p w:rsidR="005D49D3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I</w:t>
            </w:r>
          </w:p>
        </w:tc>
        <w:tc>
          <w:tcPr>
            <w:tcW w:w="7210" w:type="dxa"/>
            <w:gridSpan w:val="2"/>
          </w:tcPr>
          <w:p w:rsidR="00EE239F" w:rsidRDefault="00C87CFB" w:rsidP="00F03891">
            <w:pPr>
              <w:rPr>
                <w:rFonts w:ascii="Arial Black" w:hAnsi="Arial Black"/>
              </w:rPr>
            </w:pPr>
            <w:proofErr w:type="gramStart"/>
            <w:r>
              <w:rPr>
                <w:rFonts w:ascii="Arial Black" w:hAnsi="Arial Black"/>
              </w:rPr>
              <w:t>Quantidade de denuncia</w:t>
            </w:r>
            <w:r w:rsidR="00550313">
              <w:rPr>
                <w:rFonts w:ascii="Arial Black" w:hAnsi="Arial Black"/>
              </w:rPr>
              <w:t>s recebidas pela Ouvidoria</w:t>
            </w:r>
            <w:proofErr w:type="gramEnd"/>
            <w:r w:rsidR="00550313">
              <w:rPr>
                <w:rFonts w:ascii="Arial Black" w:hAnsi="Arial Black"/>
              </w:rPr>
              <w:t>.</w:t>
            </w:r>
          </w:p>
          <w:p w:rsidR="00550313" w:rsidRDefault="00550313" w:rsidP="00F03891">
            <w:pPr>
              <w:rPr>
                <w:rFonts w:ascii="Arial Black" w:hAnsi="Arial Black"/>
              </w:rPr>
            </w:pPr>
          </w:p>
        </w:tc>
        <w:tc>
          <w:tcPr>
            <w:tcW w:w="1311" w:type="dxa"/>
          </w:tcPr>
          <w:p w:rsidR="00EE239F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Nº14</w:t>
            </w:r>
          </w:p>
        </w:tc>
      </w:tr>
      <w:tr w:rsidR="006A7864" w:rsidTr="00F03891">
        <w:trPr>
          <w:trHeight w:val="738"/>
        </w:trPr>
        <w:tc>
          <w:tcPr>
            <w:tcW w:w="826" w:type="dxa"/>
          </w:tcPr>
          <w:p w:rsidR="00550313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J</w:t>
            </w:r>
          </w:p>
        </w:tc>
        <w:tc>
          <w:tcPr>
            <w:tcW w:w="7210" w:type="dxa"/>
            <w:gridSpan w:val="2"/>
          </w:tcPr>
          <w:p w:rsidR="006A7864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% - dos pedidos atendidos no prazo de até 20 dias.</w:t>
            </w:r>
          </w:p>
        </w:tc>
        <w:tc>
          <w:tcPr>
            <w:tcW w:w="1311" w:type="dxa"/>
          </w:tcPr>
          <w:p w:rsidR="006A7864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87CFB">
              <w:rPr>
                <w:rFonts w:ascii="Arial Black" w:hAnsi="Arial Black"/>
              </w:rPr>
              <w:t>29%</w:t>
            </w:r>
          </w:p>
        </w:tc>
      </w:tr>
      <w:tr w:rsidR="006A7864" w:rsidTr="00F03891">
        <w:trPr>
          <w:trHeight w:val="617"/>
        </w:trPr>
        <w:tc>
          <w:tcPr>
            <w:tcW w:w="826" w:type="dxa"/>
          </w:tcPr>
          <w:p w:rsidR="006A7864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K</w:t>
            </w:r>
          </w:p>
        </w:tc>
        <w:tc>
          <w:tcPr>
            <w:tcW w:w="7210" w:type="dxa"/>
            <w:gridSpan w:val="2"/>
          </w:tcPr>
          <w:p w:rsidR="006A7864" w:rsidRDefault="00550313" w:rsidP="00F03891">
            <w:pPr>
              <w:rPr>
                <w:rFonts w:ascii="Arial Black" w:hAnsi="Arial Black"/>
              </w:rPr>
            </w:pPr>
            <w:proofErr w:type="gramStart"/>
            <w:r>
              <w:rPr>
                <w:rFonts w:ascii="Arial Black" w:hAnsi="Arial Black"/>
              </w:rPr>
              <w:t>Quantidade  de reclamação recebido pela Ouvidoria</w:t>
            </w:r>
            <w:proofErr w:type="gramEnd"/>
          </w:p>
        </w:tc>
        <w:tc>
          <w:tcPr>
            <w:tcW w:w="1311" w:type="dxa"/>
          </w:tcPr>
          <w:p w:rsidR="006A7864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Nº3</w:t>
            </w:r>
          </w:p>
        </w:tc>
      </w:tr>
      <w:tr w:rsidR="006A7864" w:rsidTr="00F03891">
        <w:tblPrEx>
          <w:tblLook w:val="0000"/>
        </w:tblPrEx>
        <w:trPr>
          <w:trHeight w:val="739"/>
        </w:trPr>
        <w:tc>
          <w:tcPr>
            <w:tcW w:w="838" w:type="dxa"/>
            <w:gridSpan w:val="2"/>
          </w:tcPr>
          <w:p w:rsidR="006A7864" w:rsidRDefault="006A7864" w:rsidP="00F03891">
            <w:pPr>
              <w:rPr>
                <w:rFonts w:ascii="Arial Black" w:hAnsi="Arial Black"/>
              </w:rPr>
            </w:pPr>
          </w:p>
          <w:p w:rsidR="00550313" w:rsidRDefault="00550313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L</w:t>
            </w:r>
          </w:p>
        </w:tc>
        <w:tc>
          <w:tcPr>
            <w:tcW w:w="7198" w:type="dxa"/>
          </w:tcPr>
          <w:p w:rsidR="006A7864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% - </w:t>
            </w:r>
            <w:r w:rsidR="00550313">
              <w:rPr>
                <w:rFonts w:ascii="Arial Black" w:hAnsi="Arial Black"/>
              </w:rPr>
              <w:t xml:space="preserve"> atendidas no prazo de até 20 dias.</w:t>
            </w:r>
          </w:p>
        </w:tc>
        <w:tc>
          <w:tcPr>
            <w:tcW w:w="1311" w:type="dxa"/>
          </w:tcPr>
          <w:p w:rsidR="006A7864" w:rsidRDefault="00984117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100</w:t>
            </w:r>
            <w:r w:rsidR="00550313">
              <w:rPr>
                <w:rFonts w:ascii="Arial Black" w:hAnsi="Arial Black"/>
              </w:rPr>
              <w:t>%</w:t>
            </w:r>
          </w:p>
        </w:tc>
      </w:tr>
      <w:tr w:rsidR="006A7864" w:rsidTr="00F03891">
        <w:tblPrEx>
          <w:tblLook w:val="0000"/>
        </w:tblPrEx>
        <w:trPr>
          <w:trHeight w:val="799"/>
        </w:trPr>
        <w:tc>
          <w:tcPr>
            <w:tcW w:w="838" w:type="dxa"/>
            <w:gridSpan w:val="2"/>
          </w:tcPr>
          <w:p w:rsidR="006A7864" w:rsidRDefault="006A7864" w:rsidP="00F03891">
            <w:pPr>
              <w:rPr>
                <w:rFonts w:ascii="Arial Black" w:hAnsi="Arial Black"/>
              </w:rPr>
            </w:pPr>
          </w:p>
          <w:p w:rsidR="00550313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 w:rsidR="00550313">
              <w:rPr>
                <w:rFonts w:ascii="Arial Black" w:hAnsi="Arial Black"/>
              </w:rPr>
              <w:t>M</w:t>
            </w:r>
          </w:p>
        </w:tc>
        <w:tc>
          <w:tcPr>
            <w:tcW w:w="7198" w:type="dxa"/>
          </w:tcPr>
          <w:p w:rsidR="006A7864" w:rsidRDefault="00ED6424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</w:t>
            </w:r>
            <w:r w:rsidR="00C87CFB">
              <w:rPr>
                <w:rFonts w:ascii="Arial Black" w:hAnsi="Arial Black"/>
              </w:rPr>
              <w:t>uantidades de consulta</w:t>
            </w:r>
            <w:r w:rsidR="00550313">
              <w:rPr>
                <w:rFonts w:ascii="Arial Black" w:hAnsi="Arial Black"/>
              </w:rPr>
              <w:t xml:space="preserve"> recebidas pela Ouvidoria</w:t>
            </w:r>
          </w:p>
        </w:tc>
        <w:tc>
          <w:tcPr>
            <w:tcW w:w="1311" w:type="dxa"/>
          </w:tcPr>
          <w:p w:rsidR="006A7864" w:rsidRDefault="00984117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</w:t>
            </w:r>
            <w:r w:rsidR="00550313">
              <w:rPr>
                <w:rFonts w:ascii="Arial Black" w:hAnsi="Arial Black"/>
              </w:rPr>
              <w:t>.</w:t>
            </w:r>
            <w:r w:rsidR="00C87CFB">
              <w:rPr>
                <w:rFonts w:ascii="Arial Black" w:hAnsi="Arial Black"/>
              </w:rPr>
              <w:t>º1</w:t>
            </w:r>
          </w:p>
        </w:tc>
      </w:tr>
      <w:tr w:rsidR="00F03891" w:rsidTr="00F03891">
        <w:tblPrEx>
          <w:tblLook w:val="0000"/>
        </w:tblPrEx>
        <w:trPr>
          <w:trHeight w:val="339"/>
        </w:trPr>
        <w:tc>
          <w:tcPr>
            <w:tcW w:w="838" w:type="dxa"/>
            <w:gridSpan w:val="2"/>
          </w:tcPr>
          <w:p w:rsidR="00F03891" w:rsidRDefault="00F03891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N</w:t>
            </w:r>
          </w:p>
        </w:tc>
        <w:tc>
          <w:tcPr>
            <w:tcW w:w="7198" w:type="dxa"/>
          </w:tcPr>
          <w:p w:rsidR="00F03891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% - </w:t>
            </w:r>
            <w:r w:rsidR="00F03891">
              <w:rPr>
                <w:rFonts w:ascii="Arial Black" w:hAnsi="Arial Black"/>
              </w:rPr>
              <w:t xml:space="preserve"> atendidas no prazo de até 20 dias</w:t>
            </w:r>
          </w:p>
          <w:p w:rsidR="00F03891" w:rsidRDefault="00F03891" w:rsidP="00F03891">
            <w:pPr>
              <w:rPr>
                <w:rFonts w:ascii="Arial Black" w:hAnsi="Arial Black"/>
              </w:rPr>
            </w:pP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</w:tcPr>
          <w:p w:rsidR="00F03891" w:rsidRDefault="00C87CFB" w:rsidP="00F0389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</w:t>
            </w:r>
            <w:r w:rsidR="00F03891">
              <w:rPr>
                <w:rFonts w:ascii="Arial Black" w:hAnsi="Arial Black"/>
              </w:rPr>
              <w:t>%</w:t>
            </w:r>
          </w:p>
        </w:tc>
      </w:tr>
    </w:tbl>
    <w:p w:rsidR="00984117" w:rsidRDefault="001A7AF0">
      <w:pPr>
        <w:rPr>
          <w:rFonts w:ascii="Arial Black" w:hAnsi="Arial Black"/>
        </w:rPr>
      </w:pPr>
      <w:r>
        <w:rPr>
          <w:rFonts w:ascii="Arial Black" w:hAnsi="Arial Black"/>
          <w:noProof/>
          <w:lang w:eastAsia="pt-BR" w:bidi="ar-SA"/>
        </w:rPr>
        <w:pict>
          <v:shape id="_x0000_s1030" type="#_x0000_t32" style="position:absolute;margin-left:401.4pt;margin-top:580.25pt;width:0;height:37.5pt;z-index:251662336;mso-position-horizontal-relative:text;mso-position-vertical-relative:text" o:connectortype="straight"/>
        </w:pict>
      </w:r>
      <w:r>
        <w:rPr>
          <w:rFonts w:ascii="Arial Black" w:hAnsi="Arial Black"/>
          <w:noProof/>
          <w:lang w:eastAsia="pt-BR" w:bidi="ar-SA"/>
        </w:rPr>
        <w:pict>
          <v:shape id="_x0000_s1029" type="#_x0000_t32" style="position:absolute;margin-left:41.4pt;margin-top:580.25pt;width:.6pt;height:37.5pt;flip:x;z-index:251661312;mso-position-horizontal-relative:text;mso-position-vertical-relative:text" o:connectortype="straight"/>
        </w:pict>
      </w:r>
      <w:r>
        <w:rPr>
          <w:rFonts w:ascii="Arial Black" w:hAnsi="Arial Black"/>
          <w:noProof/>
          <w:lang w:eastAsia="pt-BR" w:bidi="ar-SA"/>
        </w:rPr>
        <w:pict>
          <v:rect id="_x0000_s1028" style="position:absolute;margin-left:-.95pt;margin-top:580.25pt;width:468.9pt;height:37.5pt;z-index:251660288;mso-position-horizontal-relative:text;mso-position-vertical-relative:text">
            <v:textbox>
              <w:txbxContent>
                <w:p w:rsidR="00F03891" w:rsidRPr="00297247" w:rsidRDefault="00F03891">
                  <w:pPr>
                    <w:rPr>
                      <w:rFonts w:ascii="Arial Black" w:hAnsi="Arial Black"/>
                      <w:b/>
                      <w:sz w:val="32"/>
                      <w:szCs w:val="32"/>
                    </w:rPr>
                  </w:pPr>
                  <w:r w:rsidRPr="00297247">
                    <w:rPr>
                      <w:rFonts w:ascii="Arial Black" w:hAnsi="Arial Black"/>
                      <w:b/>
                    </w:rPr>
                    <w:t xml:space="preserve"> </w:t>
                  </w:r>
                  <w:r w:rsidR="00297247" w:rsidRPr="00297247">
                    <w:rPr>
                      <w:rFonts w:ascii="Arial Black" w:hAnsi="Arial Black"/>
                      <w:b/>
                      <w:sz w:val="28"/>
                      <w:szCs w:val="28"/>
                    </w:rPr>
                    <w:t>O</w:t>
                  </w:r>
                  <w:r w:rsidR="00297247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Agradecimento                         </w:t>
                  </w:r>
                  <w:r w:rsidR="00C87CFB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                          Nº6</w:t>
                  </w:r>
                </w:p>
              </w:txbxContent>
            </v:textbox>
          </v:rect>
        </w:pict>
      </w:r>
      <w:r>
        <w:rPr>
          <w:rFonts w:ascii="Arial Black" w:hAnsi="Arial Black"/>
          <w:noProof/>
          <w:lang w:eastAsia="pt-BR" w:bidi="ar-SA"/>
        </w:rPr>
        <w:pict>
          <v:shape id="_x0000_s1027" type="#_x0000_t32" style="position:absolute;margin-left:401.4pt;margin-top:580.25pt;width:66.55pt;height:0;z-index:251659264;mso-position-horizontal-relative:text;mso-position-vertical-relative:text" o:connectortype="straight"/>
        </w:pict>
      </w:r>
      <w:r w:rsidR="00F03891">
        <w:rPr>
          <w:rFonts w:ascii="Arial Black" w:hAnsi="Arial Black"/>
        </w:rPr>
        <w:br w:type="textWrapping" w:clear="all"/>
      </w:r>
    </w:p>
    <w:p w:rsidR="00984117" w:rsidRDefault="00984117">
      <w:pPr>
        <w:rPr>
          <w:rFonts w:ascii="Arial Black" w:hAnsi="Arial Black"/>
        </w:rPr>
      </w:pPr>
    </w:p>
    <w:p w:rsidR="00984117" w:rsidRDefault="00297247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  </w:t>
      </w:r>
    </w:p>
    <w:p w:rsidR="00B45176" w:rsidRPr="00B45176" w:rsidRDefault="00B45176">
      <w:pPr>
        <w:rPr>
          <w:rFonts w:ascii="Arial Black" w:hAnsi="Arial Black"/>
        </w:rPr>
      </w:pPr>
    </w:p>
    <w:sectPr w:rsidR="00B45176" w:rsidRPr="00B45176" w:rsidSect="00DD2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45176"/>
    <w:rsid w:val="00093B44"/>
    <w:rsid w:val="000D0643"/>
    <w:rsid w:val="00127366"/>
    <w:rsid w:val="00176F17"/>
    <w:rsid w:val="00177992"/>
    <w:rsid w:val="001A7AF0"/>
    <w:rsid w:val="001D6EEF"/>
    <w:rsid w:val="001E7D83"/>
    <w:rsid w:val="001F29E3"/>
    <w:rsid w:val="00217C7F"/>
    <w:rsid w:val="00251D27"/>
    <w:rsid w:val="00290411"/>
    <w:rsid w:val="00297247"/>
    <w:rsid w:val="002B5BDA"/>
    <w:rsid w:val="003029AC"/>
    <w:rsid w:val="00454828"/>
    <w:rsid w:val="00467F81"/>
    <w:rsid w:val="00495276"/>
    <w:rsid w:val="0049665E"/>
    <w:rsid w:val="00550313"/>
    <w:rsid w:val="005D49D3"/>
    <w:rsid w:val="005E161B"/>
    <w:rsid w:val="006436AC"/>
    <w:rsid w:val="00650227"/>
    <w:rsid w:val="006871E5"/>
    <w:rsid w:val="006A7864"/>
    <w:rsid w:val="00742044"/>
    <w:rsid w:val="008E75FF"/>
    <w:rsid w:val="00951C47"/>
    <w:rsid w:val="00984117"/>
    <w:rsid w:val="009A3E81"/>
    <w:rsid w:val="00A8141E"/>
    <w:rsid w:val="00B2727F"/>
    <w:rsid w:val="00B45176"/>
    <w:rsid w:val="00C87CFB"/>
    <w:rsid w:val="00CA221A"/>
    <w:rsid w:val="00CB1DD8"/>
    <w:rsid w:val="00DD263A"/>
    <w:rsid w:val="00E06F7B"/>
    <w:rsid w:val="00E56F03"/>
    <w:rsid w:val="00EB2AF4"/>
    <w:rsid w:val="00ED6424"/>
    <w:rsid w:val="00EE239F"/>
    <w:rsid w:val="00F01CD4"/>
    <w:rsid w:val="00F03891"/>
    <w:rsid w:val="00F9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6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B1F3E3E-D1B9-47B2-8DF9-E11DF418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almeria</dc:creator>
  <cp:lastModifiedBy>almeria</cp:lastModifiedBy>
  <cp:revision>2</cp:revision>
  <cp:lastPrinted>2019-10-01T19:17:00Z</cp:lastPrinted>
  <dcterms:created xsi:type="dcterms:W3CDTF">2019-10-01T19:17:00Z</dcterms:created>
  <dcterms:modified xsi:type="dcterms:W3CDTF">2019-10-01T19:17:00Z</dcterms:modified>
</cp:coreProperties>
</file>