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6A1A9D">
        <w:rPr>
          <w:rFonts w:ascii="Verdana" w:hAnsi="Verdana" w:cs="Arial"/>
          <w:b/>
          <w:bCs/>
          <w:sz w:val="20"/>
        </w:rPr>
        <w:t>87</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6A1A9D">
        <w:rPr>
          <w:rFonts w:ascii="Verdana" w:hAnsi="Verdana" w:cs="Arial"/>
          <w:b/>
          <w:bCs/>
          <w:sz w:val="20"/>
        </w:rPr>
        <w:t>1095965/2018</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6A1A9D">
        <w:rPr>
          <w:rFonts w:ascii="Verdana" w:hAnsi="Verdana" w:cs="Arial"/>
          <w:b/>
          <w:bCs/>
          <w:sz w:val="20"/>
        </w:rPr>
        <w:t>ANA CAROLINA MORAIS COSTA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8C77A7" w:rsidRDefault="00ED3088" w:rsidP="00ED3088">
      <w:pPr>
        <w:pStyle w:val="Textoembloco"/>
        <w:ind w:left="2268" w:right="141" w:firstLine="567"/>
        <w:rPr>
          <w:rFonts w:ascii="Verdana" w:hAnsi="Verdana"/>
          <w:sz w:val="10"/>
          <w:szCs w:val="10"/>
        </w:rPr>
      </w:pPr>
    </w:p>
    <w:p w:rsidR="008C77A7" w:rsidRDefault="008C77A7" w:rsidP="008C77A7">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da relatora que </w:t>
      </w:r>
      <w:proofErr w:type="gramStart"/>
      <w:r>
        <w:rPr>
          <w:rFonts w:ascii="Verdana" w:hAnsi="Verdana"/>
          <w:sz w:val="20"/>
        </w:rPr>
        <w:t>nega provimento</w:t>
      </w:r>
      <w:proofErr w:type="gramEnd"/>
      <w:r>
        <w:rPr>
          <w:rFonts w:ascii="Verdana" w:hAnsi="Verdana"/>
          <w:sz w:val="20"/>
        </w:rPr>
        <w:t xml:space="preserve"> ao mérito com aplicação de penalidade</w:t>
      </w:r>
      <w:r>
        <w:rPr>
          <w:rFonts w:ascii="Verdana" w:hAnsi="Verdana"/>
          <w:color w:val="000000"/>
          <w:sz w:val="20"/>
        </w:rPr>
        <w:t xml:space="preserve"> aplicada no patamar m</w:t>
      </w:r>
      <w:r w:rsidR="00C70B1A">
        <w:rPr>
          <w:rFonts w:ascii="Verdana" w:hAnsi="Verdana"/>
          <w:color w:val="000000"/>
          <w:sz w:val="20"/>
        </w:rPr>
        <w:t>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8C77A7" w:rsidRDefault="008C77A7" w:rsidP="008C77A7">
      <w:pPr>
        <w:ind w:left="-284" w:right="141" w:hanging="142"/>
        <w:jc w:val="center"/>
        <w:rPr>
          <w:rFonts w:ascii="Verdana" w:hAnsi="Verdana" w:cs="Arial"/>
          <w:bCs/>
          <w:sz w:val="20"/>
        </w:rPr>
      </w:pPr>
    </w:p>
    <w:p w:rsidR="008C77A7" w:rsidRDefault="008C77A7" w:rsidP="008C77A7">
      <w:pPr>
        <w:ind w:left="-284" w:right="141" w:hanging="142"/>
        <w:jc w:val="center"/>
        <w:rPr>
          <w:rFonts w:ascii="Verdana" w:hAnsi="Verdana" w:cs="Arial"/>
          <w:bCs/>
          <w:sz w:val="20"/>
        </w:rPr>
      </w:pPr>
      <w:r>
        <w:rPr>
          <w:rFonts w:ascii="Verdana" w:hAnsi="Verdana" w:cs="Arial"/>
          <w:bCs/>
          <w:sz w:val="20"/>
        </w:rPr>
        <w:t>DECISÃO</w:t>
      </w:r>
    </w:p>
    <w:p w:rsidR="008C77A7" w:rsidRDefault="008C77A7" w:rsidP="008C77A7">
      <w:pPr>
        <w:ind w:left="-142" w:right="141"/>
        <w:jc w:val="center"/>
        <w:rPr>
          <w:rFonts w:ascii="Verdana" w:hAnsi="Verdana" w:cs="Arial"/>
          <w:bCs/>
          <w:sz w:val="20"/>
        </w:rPr>
      </w:pPr>
    </w:p>
    <w:p w:rsidR="00AC34F5" w:rsidRDefault="008C77A7" w:rsidP="00AC34F5">
      <w:pPr>
        <w:ind w:left="-142" w:right="141"/>
        <w:jc w:val="both"/>
        <w:rPr>
          <w:rFonts w:ascii="Verdana" w:hAnsi="Verdana"/>
          <w:i/>
          <w:color w:val="000000"/>
          <w:sz w:val="20"/>
        </w:rPr>
      </w:pPr>
      <w:r w:rsidRPr="00F92927">
        <w:rPr>
          <w:rFonts w:ascii="Verdana" w:hAnsi="Verdana" w:cs="Arial"/>
          <w:sz w:val="20"/>
        </w:rPr>
        <w:t xml:space="preserve">O Plenário do Conselho Regional de Engenharia e Agronomia – CREA/PB, em sua Sessão Plenária Nº </w:t>
      </w:r>
      <w:r w:rsidRPr="00F92927">
        <w:rPr>
          <w:rFonts w:ascii="Verdana" w:hAnsi="Verdana" w:cs="Arial"/>
          <w:b/>
          <w:sz w:val="20"/>
        </w:rPr>
        <w:t>690</w:t>
      </w:r>
      <w:r w:rsidRPr="00F92927">
        <w:rPr>
          <w:rFonts w:ascii="Verdana" w:hAnsi="Verdana" w:cs="Arial"/>
          <w:sz w:val="20"/>
        </w:rPr>
        <w:t>, de 10 de agosto de 2020, considerando o recurso interposto pela interessada acerca da decisão CEECA Nº 647/2019, que negou provimento ao mérito com aplicação</w:t>
      </w:r>
      <w:r w:rsidR="00C90719" w:rsidRPr="00F92927">
        <w:rPr>
          <w:rFonts w:ascii="Verdana" w:hAnsi="Verdana" w:cs="Arial"/>
          <w:sz w:val="20"/>
        </w:rPr>
        <w:t xml:space="preserve"> de penalidade no patamar mínimo</w:t>
      </w:r>
      <w:r w:rsidRPr="00F92927">
        <w:rPr>
          <w:rFonts w:ascii="Verdana" w:hAnsi="Verdana" w:cs="Arial"/>
          <w:sz w:val="20"/>
        </w:rPr>
        <w:t xml:space="preserve">, </w:t>
      </w:r>
      <w:r w:rsidR="00F92927" w:rsidRPr="00F92927">
        <w:rPr>
          <w:rFonts w:ascii="Verdana" w:hAnsi="Verdana"/>
          <w:sz w:val="20"/>
        </w:rPr>
        <w:t>devido à falta de Registro junto a este Conselho, com Objetivos Sociais (Manutenção e reparação de equipamentos hidráulicos e pneumáticos, exceto válvulas; Manutenção e reparação de equipamentos e produtos não especificados anteriormente; Atividades relacionadas a esgoto, exceto a gestão de redes; Construção de estações e redes de distribuição de energia elétrica; Construção de redes de abastecimento de água, coleta de esgoto e construções correlatas, exceto obras de irrigação; Perfurações e sondagens; Instalação e manutenção elétrica; Instalações hidráulicas, sanitárias e de gás; Perfuração e construção de poços de água e atividades de estudos geológicos); Considerando que tal fato constitui Infração nos Termos do Art. 59 da Lei 5.194/66; Considerando que o (a) autuado (a) apresentou Defesa Escrita para análise da Câmara Especializada, de forma tempestiva; Considerando que o</w:t>
      </w:r>
      <w:r w:rsidR="00F144F2">
        <w:rPr>
          <w:rFonts w:ascii="Verdana" w:hAnsi="Verdana"/>
          <w:sz w:val="20"/>
        </w:rPr>
        <w:t xml:space="preserve"> </w:t>
      </w:r>
      <w:r w:rsidR="00F92927" w:rsidRPr="00F92927">
        <w:rPr>
          <w:rFonts w:ascii="Verdana" w:hAnsi="Verdana"/>
          <w:sz w:val="20"/>
        </w:rPr>
        <w:t>(a) autuado</w:t>
      </w:r>
      <w:r w:rsidR="00F144F2">
        <w:rPr>
          <w:rFonts w:ascii="Verdana" w:hAnsi="Verdana"/>
          <w:sz w:val="20"/>
        </w:rPr>
        <w:t xml:space="preserve"> </w:t>
      </w:r>
      <w:r w:rsidR="00F92927" w:rsidRPr="00F92927">
        <w:rPr>
          <w:rFonts w:ascii="Verdana" w:hAnsi="Verdana"/>
          <w:sz w:val="20"/>
        </w:rPr>
        <w:t xml:space="preserve">(a) Regularizou o Fato Gerador da infração através do Registro de Pessoa Jurídica, conforme Protocolo 1097831/2019 em 23.04.2019 de forma intempestiva; </w:t>
      </w:r>
      <w:r w:rsidRPr="00F92927">
        <w:rPr>
          <w:rFonts w:ascii="Verdana" w:hAnsi="Verdana"/>
          <w:sz w:val="20"/>
        </w:rPr>
        <w:t>Considerando a necessidade do julgamento do recurso pelo plenário; Considerando a apreciação detalhada da relatora que exarou parecer com o seguinte teor:</w:t>
      </w:r>
      <w:r w:rsidR="00AC34F5">
        <w:rPr>
          <w:rFonts w:ascii="Verdana" w:hAnsi="Verdana"/>
          <w:sz w:val="20"/>
        </w:rPr>
        <w:t xml:space="preserve"> </w:t>
      </w:r>
      <w:r w:rsidR="00AC34F5">
        <w:rPr>
          <w:rFonts w:ascii="Verdana" w:hAnsi="Verdana"/>
          <w:color w:val="000000"/>
          <w:sz w:val="20"/>
        </w:rPr>
        <w:t>“</w:t>
      </w:r>
      <w:proofErr w:type="gramStart"/>
      <w:r w:rsidR="00AC34F5">
        <w:rPr>
          <w:rFonts w:ascii="Verdana" w:hAnsi="Verdana"/>
          <w:color w:val="000000"/>
          <w:sz w:val="20"/>
        </w:rPr>
        <w:t>......</w:t>
      </w:r>
      <w:proofErr w:type="gramEnd"/>
      <w:r w:rsidR="00AC34F5" w:rsidRPr="00AC34F5">
        <w:rPr>
          <w:rFonts w:ascii="Verdana" w:hAnsi="Verdana"/>
          <w:i/>
          <w:color w:val="000000"/>
          <w:sz w:val="20"/>
        </w:rPr>
        <w:t xml:space="preserve">Ementa: A penalidade aplicada pelo auto de infração - PESSOA JURÍDICA SEM REGISTRO CONFORME OBJETO SOCIAL - por infração ao(a) ART. 59 DA LEI 5.194/66. PESSOA JURÍDICA SEM REGISTRO, NO CREA PB, COM OBJETIVOS SOCIAIS(Manutenção e reparação de equipamentos hidráulicos e pneumáticos, exceto válvulas;Manutenção e reparação de equipamentos e produtos não especificados anteriormente;Atividades relacionadas a esgoto, exceto a gestão de redes; Construção de estações e redes de distribuição de energia elétrica; Construção de redes de abastecimento de água, coleta de esgoto e construções correlatas, exceto obras de irrigação; perfurações e sondagens; Instalação e manutenção elétrica; Instalações hidráulicas, sanitárias e de gás; Perfuração e construção de poços de água e atividades de estudos geológicos) RELACIONADOS ÀS ATIVIDADES PRIVATIVAS DE PROFISSIONAIS FISCALIZADOSPELO SISTEMA CONFEA/CREA. Relatório: Trata o presente processo sobre Auto de Infração, contra PESSOA JURÍDICA, devido a PESSOA JURÍDICA SEM REGISTRO, com objetivo social relacionado às atividades privativas de profissionais fiscalizados pelo Sistema </w:t>
      </w:r>
      <w:proofErr w:type="spellStart"/>
      <w:r w:rsidR="00AC34F5" w:rsidRPr="00AC34F5">
        <w:rPr>
          <w:rFonts w:ascii="Verdana" w:hAnsi="Verdana"/>
          <w:i/>
          <w:color w:val="000000"/>
          <w:sz w:val="20"/>
        </w:rPr>
        <w:t>Confea</w:t>
      </w:r>
      <w:proofErr w:type="spellEnd"/>
      <w:r w:rsidR="00AC34F5" w:rsidRPr="00AC34F5">
        <w:rPr>
          <w:rFonts w:ascii="Verdana" w:hAnsi="Verdana"/>
          <w:i/>
          <w:color w:val="000000"/>
          <w:sz w:val="20"/>
        </w:rPr>
        <w:t>/</w:t>
      </w:r>
      <w:proofErr w:type="spellStart"/>
      <w:r w:rsidR="00AC34F5" w:rsidRPr="00AC34F5">
        <w:rPr>
          <w:rFonts w:ascii="Verdana" w:hAnsi="Verdana"/>
          <w:i/>
          <w:color w:val="000000"/>
          <w:sz w:val="20"/>
        </w:rPr>
        <w:t>Crea</w:t>
      </w:r>
      <w:proofErr w:type="spellEnd"/>
      <w:r w:rsidR="00AC34F5" w:rsidRPr="00AC34F5">
        <w:rPr>
          <w:rFonts w:ascii="Verdana" w:hAnsi="Verdana"/>
          <w:i/>
          <w:color w:val="000000"/>
          <w:sz w:val="20"/>
        </w:rPr>
        <w:t xml:space="preserve">;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tal fato constitui infração ao Art. 59 da Lei5.194/66;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a autuada apresentou defesa escrita tempestivamente para análise da Câmara Especializada;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ocorreu a regularização do fato gerador da infração, ainda que intempestivamente; Análise: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a autuada apresentou defesa escrita tempestivamente para análise da Câmara Especializada;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ocorreu a regularização do fato gerador da infração, após a lavratura do auto de infração. Fundamentação: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tal fato constitui infração ao Art. 59 da Lei 5.194/66, com infração capitulada na alínea "c" do art. 73 da Lei5.194/66;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a autuada apresentou defesa escrita tempestiva para análise da Câmara Especializada;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ocorreu a regularização do fato gerador da infração, após a lavratura do auto de </w:t>
      </w:r>
      <w:proofErr w:type="gramStart"/>
      <w:r w:rsidR="00AC34F5" w:rsidRPr="00AC34F5">
        <w:rPr>
          <w:rFonts w:ascii="Verdana" w:hAnsi="Verdana"/>
          <w:i/>
          <w:color w:val="000000"/>
          <w:sz w:val="20"/>
        </w:rPr>
        <w:t>infração</w:t>
      </w:r>
      <w:proofErr w:type="gramEnd"/>
      <w:r w:rsidR="00AC34F5" w:rsidRPr="00AC34F5">
        <w:rPr>
          <w:rFonts w:ascii="Verdana" w:hAnsi="Verdana"/>
          <w:i/>
          <w:color w:val="000000"/>
          <w:sz w:val="20"/>
        </w:rPr>
        <w:t xml:space="preserve">. Voto: </w:t>
      </w:r>
      <w:r w:rsidR="00AC34F5" w:rsidRPr="00AC34F5">
        <w:rPr>
          <w:rFonts w:ascii="Verdana" w:hAnsi="Verdana"/>
          <w:bCs/>
          <w:i/>
          <w:color w:val="000000"/>
          <w:sz w:val="20"/>
        </w:rPr>
        <w:t>Considerando</w:t>
      </w:r>
      <w:r w:rsidR="00AC34F5" w:rsidRPr="00AC34F5">
        <w:rPr>
          <w:rFonts w:ascii="Verdana" w:hAnsi="Verdana"/>
          <w:i/>
          <w:color w:val="000000"/>
          <w:sz w:val="20"/>
        </w:rPr>
        <w:t xml:space="preserve"> que o (a) </w:t>
      </w:r>
      <w:proofErr w:type="gramStart"/>
      <w:r w:rsidR="00AC34F5" w:rsidRPr="00AC34F5">
        <w:rPr>
          <w:rFonts w:ascii="Verdana" w:hAnsi="Verdana"/>
          <w:i/>
          <w:color w:val="000000"/>
          <w:sz w:val="20"/>
        </w:rPr>
        <w:t>autuado(</w:t>
      </w:r>
      <w:proofErr w:type="gramEnd"/>
      <w:r w:rsidR="00AC34F5" w:rsidRPr="00AC34F5">
        <w:rPr>
          <w:rFonts w:ascii="Verdana" w:hAnsi="Verdana"/>
          <w:i/>
          <w:color w:val="000000"/>
          <w:sz w:val="20"/>
        </w:rPr>
        <w:t xml:space="preserve">a) Regularizou o Fato Gerador da infração através do Registro de Pessoa Jurídica, conforme </w:t>
      </w:r>
      <w:r w:rsidR="00AC34F5" w:rsidRPr="00AC34F5">
        <w:rPr>
          <w:rFonts w:ascii="Verdana" w:hAnsi="Verdana"/>
          <w:bCs/>
          <w:i/>
          <w:color w:val="000000"/>
          <w:sz w:val="20"/>
        </w:rPr>
        <w:t>Protocolo 1097831/2019 em 23.04.2019</w:t>
      </w:r>
      <w:r w:rsidR="00AC34F5" w:rsidRPr="00AC34F5">
        <w:rPr>
          <w:rFonts w:ascii="Verdana" w:hAnsi="Verdana"/>
          <w:i/>
          <w:color w:val="000000"/>
          <w:sz w:val="20"/>
        </w:rPr>
        <w:t xml:space="preserve"> de forma intemp</w:t>
      </w:r>
      <w:r w:rsidR="00F144F2">
        <w:rPr>
          <w:rFonts w:ascii="Verdana" w:hAnsi="Verdana"/>
          <w:i/>
          <w:color w:val="000000"/>
          <w:sz w:val="20"/>
        </w:rPr>
        <w:t>estiva, esta relatora acompanha</w:t>
      </w:r>
      <w:r w:rsidR="00AC34F5" w:rsidRPr="00AC34F5">
        <w:rPr>
          <w:rFonts w:ascii="Verdana" w:hAnsi="Verdana"/>
          <w:i/>
          <w:color w:val="000000"/>
          <w:sz w:val="20"/>
        </w:rPr>
        <w:t xml:space="preserve"> o Parecer da  Câmara Especializada e com Base no Disposto na Decisão Nº 003/2019 - CEECA, ou seja, pela </w:t>
      </w:r>
      <w:r w:rsidR="00AC34F5" w:rsidRPr="00AC34F5">
        <w:rPr>
          <w:rFonts w:ascii="Verdana" w:hAnsi="Verdana"/>
          <w:i/>
          <w:color w:val="000000"/>
          <w:sz w:val="20"/>
          <w:u w:val="single"/>
        </w:rPr>
        <w:t>MANUTENÇÃO DO AUTO DE INFRAÇÃO</w:t>
      </w:r>
      <w:r w:rsidR="00AC34F5" w:rsidRPr="00AC34F5">
        <w:rPr>
          <w:rFonts w:ascii="Verdana" w:hAnsi="Verdana"/>
          <w:i/>
          <w:color w:val="000000"/>
          <w:sz w:val="20"/>
        </w:rPr>
        <w:t xml:space="preserve">, devendo ser aplicada a </w:t>
      </w:r>
      <w:r w:rsidR="00AC34F5" w:rsidRPr="00AC34F5">
        <w:rPr>
          <w:rFonts w:ascii="Verdana" w:hAnsi="Verdana"/>
          <w:bCs/>
          <w:i/>
          <w:color w:val="000000"/>
          <w:sz w:val="20"/>
        </w:rPr>
        <w:t>PENALIDADE MÍNIMA</w:t>
      </w:r>
      <w:r w:rsidR="00AC34F5" w:rsidRPr="00AC34F5">
        <w:rPr>
          <w:rFonts w:ascii="Verdana" w:hAnsi="Verdana"/>
          <w:i/>
          <w:color w:val="000000"/>
          <w:sz w:val="20"/>
        </w:rPr>
        <w:t xml:space="preserve">, com seu valor atualizado conforme estabelecido através da alínea </w:t>
      </w:r>
      <w:r w:rsidR="00AC34F5">
        <w:rPr>
          <w:rFonts w:ascii="Verdana" w:hAnsi="Verdana"/>
          <w:i/>
          <w:color w:val="000000"/>
          <w:sz w:val="20"/>
        </w:rPr>
        <w:t xml:space="preserve"> </w:t>
      </w:r>
      <w:r w:rsidR="00AC34F5" w:rsidRPr="00AC34F5">
        <w:rPr>
          <w:rFonts w:ascii="Verdana" w:hAnsi="Verdana"/>
          <w:i/>
          <w:color w:val="000000"/>
          <w:sz w:val="20"/>
        </w:rPr>
        <w:t>“c”</w:t>
      </w:r>
      <w:r w:rsidR="00AC34F5">
        <w:rPr>
          <w:rFonts w:ascii="Verdana" w:hAnsi="Verdana"/>
          <w:i/>
          <w:color w:val="000000"/>
          <w:sz w:val="20"/>
        </w:rPr>
        <w:t xml:space="preserve"> </w:t>
      </w:r>
      <w:r w:rsidR="00AC34F5" w:rsidRPr="00AC34F5">
        <w:rPr>
          <w:rFonts w:ascii="Verdana" w:hAnsi="Verdana"/>
          <w:i/>
          <w:color w:val="000000"/>
          <w:sz w:val="20"/>
        </w:rPr>
        <w:t xml:space="preserve"> do Art. 73 da Lei 5.194/66. Este é o nosso </w:t>
      </w:r>
    </w:p>
    <w:p w:rsidR="00AC34F5" w:rsidRDefault="00AC34F5" w:rsidP="00AC34F5">
      <w:pPr>
        <w:ind w:left="-142" w:right="141"/>
        <w:jc w:val="both"/>
        <w:rPr>
          <w:rFonts w:ascii="Verdana" w:hAnsi="Verdana"/>
          <w:i/>
          <w:color w:val="000000"/>
          <w:sz w:val="20"/>
        </w:rPr>
      </w:pPr>
    </w:p>
    <w:p w:rsidR="00AC34F5" w:rsidRDefault="00AC34F5" w:rsidP="00AC34F5">
      <w:pPr>
        <w:ind w:left="-142" w:right="141"/>
        <w:jc w:val="both"/>
        <w:rPr>
          <w:rFonts w:ascii="Verdana" w:hAnsi="Verdana"/>
          <w:i/>
          <w:color w:val="000000"/>
          <w:sz w:val="20"/>
        </w:rPr>
      </w:pPr>
    </w:p>
    <w:p w:rsidR="00916452" w:rsidRDefault="00AC34F5" w:rsidP="008D2779">
      <w:pPr>
        <w:ind w:left="-142" w:right="141"/>
        <w:jc w:val="both"/>
        <w:rPr>
          <w:rFonts w:ascii="Verdana" w:hAnsi="Verdana" w:cs="Arial"/>
          <w:sz w:val="20"/>
        </w:rPr>
      </w:pPr>
      <w:proofErr w:type="gramStart"/>
      <w:r w:rsidRPr="00AC34F5">
        <w:rPr>
          <w:rFonts w:ascii="Verdana" w:hAnsi="Verdana"/>
          <w:i/>
          <w:color w:val="000000"/>
          <w:sz w:val="20"/>
        </w:rPr>
        <w:lastRenderedPageBreak/>
        <w:t>parecer</w:t>
      </w:r>
      <w:proofErr w:type="gramEnd"/>
      <w:r w:rsidRPr="00AC34F5">
        <w:rPr>
          <w:rFonts w:ascii="Verdana" w:hAnsi="Verdana"/>
          <w:i/>
          <w:color w:val="000000"/>
          <w:sz w:val="20"/>
        </w:rPr>
        <w:t xml:space="preserve">, Salvo melhor juízo. </w:t>
      </w:r>
      <w:proofErr w:type="gramStart"/>
      <w:r w:rsidRPr="00AC34F5">
        <w:rPr>
          <w:rFonts w:ascii="Verdana" w:hAnsi="Verdana"/>
          <w:i/>
          <w:color w:val="000000"/>
          <w:sz w:val="20"/>
        </w:rPr>
        <w:t xml:space="preserve">MARIA APARECIDA RODRIGUES ESTREL, </w:t>
      </w:r>
      <w:proofErr w:type="spellStart"/>
      <w:r w:rsidRPr="00AC34F5">
        <w:rPr>
          <w:rFonts w:ascii="Verdana" w:hAnsi="Verdana"/>
          <w:i/>
          <w:color w:val="000000"/>
          <w:sz w:val="20"/>
        </w:rPr>
        <w:t>Engª</w:t>
      </w:r>
      <w:proofErr w:type="spellEnd"/>
      <w:r w:rsidRPr="00AC34F5">
        <w:rPr>
          <w:rFonts w:ascii="Verdana" w:hAnsi="Verdana"/>
          <w:i/>
          <w:color w:val="000000"/>
          <w:sz w:val="20"/>
        </w:rPr>
        <w:t xml:space="preserve"> Civil e de Segurança do Trabalho - CREA 1605890880, Conselheira Regional - CREA PB</w:t>
      </w:r>
      <w:r>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212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17D0"/>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863"/>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212B"/>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C77A7"/>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4F5"/>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0B1A"/>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0719"/>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44F2"/>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927"/>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59751810">
      <w:bodyDiv w:val="1"/>
      <w:marLeft w:val="0"/>
      <w:marRight w:val="0"/>
      <w:marTop w:val="0"/>
      <w:marBottom w:val="0"/>
      <w:divBdr>
        <w:top w:val="none" w:sz="0" w:space="0" w:color="auto"/>
        <w:left w:val="none" w:sz="0" w:space="0" w:color="auto"/>
        <w:bottom w:val="none" w:sz="0" w:space="0" w:color="auto"/>
        <w:right w:val="none" w:sz="0" w:space="0" w:color="auto"/>
      </w:divBdr>
      <w:divsChild>
        <w:div w:id="886451441">
          <w:marLeft w:val="0"/>
          <w:marRight w:val="0"/>
          <w:marTop w:val="0"/>
          <w:marBottom w:val="0"/>
          <w:divBdr>
            <w:top w:val="none" w:sz="0" w:space="0" w:color="auto"/>
            <w:left w:val="none" w:sz="0" w:space="0" w:color="auto"/>
            <w:bottom w:val="none" w:sz="0" w:space="0" w:color="auto"/>
            <w:right w:val="none" w:sz="0" w:space="0" w:color="auto"/>
          </w:divBdr>
          <w:divsChild>
            <w:div w:id="1047870836">
              <w:marLeft w:val="120"/>
              <w:marRight w:val="0"/>
              <w:marTop w:val="0"/>
              <w:marBottom w:val="0"/>
              <w:divBdr>
                <w:top w:val="none" w:sz="0" w:space="0" w:color="auto"/>
                <w:left w:val="none" w:sz="0" w:space="0" w:color="auto"/>
                <w:bottom w:val="none" w:sz="0" w:space="0" w:color="auto"/>
                <w:right w:val="none" w:sz="0" w:space="0" w:color="auto"/>
              </w:divBdr>
            </w:div>
          </w:divsChild>
        </w:div>
        <w:div w:id="1817067863">
          <w:marLeft w:val="0"/>
          <w:marRight w:val="0"/>
          <w:marTop w:val="0"/>
          <w:marBottom w:val="0"/>
          <w:divBdr>
            <w:top w:val="none" w:sz="0" w:space="0" w:color="auto"/>
            <w:left w:val="none" w:sz="0" w:space="0" w:color="auto"/>
            <w:bottom w:val="none" w:sz="0" w:space="0" w:color="auto"/>
            <w:right w:val="none" w:sz="0" w:space="0" w:color="auto"/>
          </w:divBdr>
          <w:divsChild>
            <w:div w:id="1020820965">
              <w:marLeft w:val="120"/>
              <w:marRight w:val="0"/>
              <w:marTop w:val="0"/>
              <w:marBottom w:val="0"/>
              <w:divBdr>
                <w:top w:val="none" w:sz="0" w:space="0" w:color="auto"/>
                <w:left w:val="none" w:sz="0" w:space="0" w:color="auto"/>
                <w:bottom w:val="none" w:sz="0" w:space="0" w:color="auto"/>
                <w:right w:val="none" w:sz="0" w:space="0" w:color="auto"/>
              </w:divBdr>
            </w:div>
          </w:divsChild>
        </w:div>
        <w:div w:id="1259631384">
          <w:marLeft w:val="0"/>
          <w:marRight w:val="0"/>
          <w:marTop w:val="0"/>
          <w:marBottom w:val="0"/>
          <w:divBdr>
            <w:top w:val="none" w:sz="0" w:space="0" w:color="auto"/>
            <w:left w:val="none" w:sz="0" w:space="0" w:color="auto"/>
            <w:bottom w:val="none" w:sz="0" w:space="0" w:color="auto"/>
            <w:right w:val="none" w:sz="0" w:space="0" w:color="auto"/>
          </w:divBdr>
          <w:divsChild>
            <w:div w:id="1008022256">
              <w:marLeft w:val="120"/>
              <w:marRight w:val="0"/>
              <w:marTop w:val="0"/>
              <w:marBottom w:val="0"/>
              <w:divBdr>
                <w:top w:val="none" w:sz="0" w:space="0" w:color="auto"/>
                <w:left w:val="none" w:sz="0" w:space="0" w:color="auto"/>
                <w:bottom w:val="none" w:sz="0" w:space="0" w:color="auto"/>
                <w:right w:val="none" w:sz="0" w:space="0" w:color="auto"/>
              </w:divBdr>
            </w:div>
          </w:divsChild>
        </w:div>
        <w:div w:id="1605385195">
          <w:marLeft w:val="0"/>
          <w:marRight w:val="0"/>
          <w:marTop w:val="0"/>
          <w:marBottom w:val="0"/>
          <w:divBdr>
            <w:top w:val="none" w:sz="0" w:space="0" w:color="auto"/>
            <w:left w:val="none" w:sz="0" w:space="0" w:color="auto"/>
            <w:bottom w:val="none" w:sz="0" w:space="0" w:color="auto"/>
            <w:right w:val="none" w:sz="0" w:space="0" w:color="auto"/>
          </w:divBdr>
          <w:divsChild>
            <w:div w:id="328559219">
              <w:marLeft w:val="120"/>
              <w:marRight w:val="0"/>
              <w:marTop w:val="0"/>
              <w:marBottom w:val="0"/>
              <w:divBdr>
                <w:top w:val="none" w:sz="0" w:space="0" w:color="auto"/>
                <w:left w:val="none" w:sz="0" w:space="0" w:color="auto"/>
                <w:bottom w:val="none" w:sz="0" w:space="0" w:color="auto"/>
                <w:right w:val="none" w:sz="0" w:space="0" w:color="auto"/>
              </w:divBdr>
            </w:div>
          </w:divsChild>
        </w:div>
        <w:div w:id="2124303883">
          <w:marLeft w:val="0"/>
          <w:marRight w:val="0"/>
          <w:marTop w:val="0"/>
          <w:marBottom w:val="0"/>
          <w:divBdr>
            <w:top w:val="none" w:sz="0" w:space="0" w:color="auto"/>
            <w:left w:val="none" w:sz="0" w:space="0" w:color="auto"/>
            <w:bottom w:val="none" w:sz="0" w:space="0" w:color="auto"/>
            <w:right w:val="none" w:sz="0" w:space="0" w:color="auto"/>
          </w:divBdr>
          <w:divsChild>
            <w:div w:id="116439254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5133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2020-08-23T03:03:00Z</dcterms:created>
  <dcterms:modified xsi:type="dcterms:W3CDTF">2020-08-23T03:03:00Z</dcterms:modified>
</cp:coreProperties>
</file>